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3CB2" w14:textId="77777777" w:rsidR="006C6240" w:rsidRDefault="00000000">
      <w:pPr>
        <w:spacing w:after="240"/>
        <w:jc w:val="left"/>
        <w:rPr>
          <w:b/>
          <w:bCs/>
          <w:sz w:val="36"/>
          <w:szCs w:val="36"/>
        </w:rPr>
      </w:pPr>
      <w:r>
        <w:rPr>
          <w:b/>
          <w:bCs/>
          <w:sz w:val="36"/>
          <w:szCs w:val="36"/>
        </w:rPr>
        <w:t>Memetakan Narasi Disabilitas dalam Media Daring Indonesia: Sintesis Literatur Antara Eksploitasi dan Inklusivitas</w:t>
      </w:r>
    </w:p>
    <w:p w14:paraId="075342D9" w14:textId="77777777" w:rsidR="006C6240" w:rsidRDefault="00000000">
      <w:pPr>
        <w:spacing w:before="240" w:after="240"/>
        <w:jc w:val="left"/>
        <w:rPr>
          <w:sz w:val="16"/>
          <w:szCs w:val="16"/>
          <w:vertAlign w:val="superscript"/>
        </w:rPr>
      </w:pPr>
      <w:r>
        <w:rPr>
          <w:b/>
          <w:bCs/>
        </w:rPr>
        <w:t>Hosana Solagracia Sifra</w:t>
      </w:r>
      <w:r>
        <w:rPr>
          <w:b/>
          <w:bCs/>
          <w:vertAlign w:val="superscript"/>
        </w:rPr>
        <w:t>1</w:t>
      </w:r>
      <w:r>
        <w:rPr>
          <w:b/>
          <w:bCs/>
        </w:rPr>
        <w:t>, Nunik Maharani</w:t>
      </w:r>
      <w:r>
        <w:rPr>
          <w:b/>
          <w:bCs/>
          <w:vertAlign w:val="superscript"/>
        </w:rPr>
        <w:t>2</w:t>
      </w:r>
      <w:r>
        <w:rPr>
          <w:b/>
          <w:bCs/>
        </w:rPr>
        <w:t>, Rinda Aunillah Sirait</w:t>
      </w:r>
      <w:r>
        <w:rPr>
          <w:b/>
          <w:bCs/>
          <w:vertAlign w:val="superscript"/>
        </w:rPr>
        <w:t>3</w:t>
      </w:r>
    </w:p>
    <w:p w14:paraId="20382B91" w14:textId="77777777" w:rsidR="006C6240" w:rsidRDefault="00000000">
      <w:pPr>
        <w:jc w:val="left"/>
        <w:rPr>
          <w:sz w:val="16"/>
          <w:szCs w:val="16"/>
        </w:rPr>
      </w:pPr>
      <w:r>
        <w:rPr>
          <w:sz w:val="16"/>
          <w:szCs w:val="16"/>
        </w:rPr>
        <w:t xml:space="preserve">Fakultas Ilmu Komunikasi, Universitas Padjadjaran </w:t>
      </w:r>
    </w:p>
    <w:p w14:paraId="25EC1E03" w14:textId="77777777" w:rsidR="006C6240" w:rsidRDefault="006C6240">
      <w:pPr>
        <w:jc w:val="left"/>
        <w:rPr>
          <w:sz w:val="16"/>
          <w:szCs w:val="16"/>
        </w:rPr>
      </w:pPr>
    </w:p>
    <w:p w14:paraId="6E4825BD" w14:textId="77777777" w:rsidR="006C6240" w:rsidRDefault="00000000">
      <w:pPr>
        <w:rPr>
          <w:sz w:val="16"/>
          <w:szCs w:val="16"/>
        </w:rPr>
      </w:pPr>
      <w:commentRangeStart w:id="0"/>
      <w:r>
        <w:rPr>
          <w:b/>
          <w:bCs/>
          <w:sz w:val="16"/>
          <w:szCs w:val="16"/>
        </w:rPr>
        <w:t>Abstrak:</w:t>
      </w:r>
      <w:r>
        <w:rPr>
          <w:sz w:val="16"/>
          <w:szCs w:val="16"/>
        </w:rPr>
        <w:t xml:space="preserve"> Representasi penyandang disabilitas dalam media daring di Indonesia masih terjebak dalam dikotomi antara kepentingan komersial dan pemenuhan tanggung jawab sosial pers. Penelitian ini bertujuan untuk memetakan pola narasi disabilitas melalui sintesis literatur untuk mengidentifikasi pembingkaian antara eksploitasi ekonomi dan praktik jurnalisme inklusif. Penelitian ini menggunakan pendekatan studi pustaka kualitatif </w:t>
      </w:r>
      <w:commentRangeEnd w:id="0"/>
      <w:r w:rsidR="00F402F6">
        <w:rPr>
          <w:rStyle w:val="CommentReference"/>
        </w:rPr>
        <w:commentReference w:id="0"/>
      </w:r>
      <w:r>
        <w:rPr>
          <w:sz w:val="16"/>
          <w:szCs w:val="16"/>
        </w:rPr>
        <w:t>deskriptif</w:t>
      </w:r>
      <w:r>
        <w:rPr>
          <w:b/>
          <w:bCs/>
          <w:sz w:val="16"/>
          <w:szCs w:val="16"/>
        </w:rPr>
        <w:t xml:space="preserve"> </w:t>
      </w:r>
      <w:r>
        <w:rPr>
          <w:sz w:val="16"/>
          <w:szCs w:val="16"/>
        </w:rPr>
        <w:t xml:space="preserve">dengan menganalisis 12 artikel ilmiah dan laporan penelitian dalam rentang waktu sepuluh tahun terakhir. Temuan penelitian ini mengungkapkan adanya polarisasi narasi yang signifikan, di satu sisi, media cenderung melakukan eksploitasi penderitaan demi mengejar trafik melalui strategi </w:t>
      </w:r>
      <w:r>
        <w:rPr>
          <w:i/>
          <w:iCs/>
          <w:sz w:val="16"/>
          <w:szCs w:val="16"/>
        </w:rPr>
        <w:t>clickbait</w:t>
      </w:r>
      <w:r>
        <w:rPr>
          <w:sz w:val="16"/>
          <w:szCs w:val="16"/>
        </w:rPr>
        <w:t xml:space="preserve">, sekaligus melakukan kekerasan simbolik melalui penggunaan eufemisme bahasa serta metafora gender yang merendahkan martabat subjek. Meskipun praktik jurnalisme inklusif yang mengacu pada Pedoman Pemberitaan Ramah Disabilitas (PPRD) mulai menunjukkan perkembangan, namun fenomena </w:t>
      </w:r>
      <w:r>
        <w:rPr>
          <w:i/>
          <w:iCs/>
          <w:sz w:val="16"/>
          <w:szCs w:val="16"/>
        </w:rPr>
        <w:t>disability without the disabled</w:t>
      </w:r>
      <w:r>
        <w:rPr>
          <w:sz w:val="16"/>
          <w:szCs w:val="16"/>
        </w:rPr>
        <w:t xml:space="preserve"> masih mendominasi karena mengabaikan suara penyandang disabilitas dalam narasi bersifat abstrak. Penelitian ini menyimpulkan bahwa transformasi paradigma dari Model Patologi Sosial menuju narasi dengan basis hak asasi manusia, serta implementasi PPRD yang konsisten, merupakan prasyarat mutlak bagi lembagai pers dalam menjalankan fungsi edukasi publik. Penelitian ini memberikan kontribusi bagi pengembangan jurnalism keberagaman melalui penguatan representasi penyandang disabilitas yang mandiri di ruang digital. </w:t>
      </w:r>
    </w:p>
    <w:p w14:paraId="60DCBCE4" w14:textId="77777777" w:rsidR="006C6240" w:rsidRDefault="006C6240">
      <w:pPr>
        <w:rPr>
          <w:sz w:val="16"/>
          <w:szCs w:val="16"/>
        </w:rPr>
      </w:pPr>
    </w:p>
    <w:p w14:paraId="0F477323" w14:textId="77777777" w:rsidR="006C6240" w:rsidRDefault="00000000">
      <w:pPr>
        <w:rPr>
          <w:sz w:val="16"/>
          <w:szCs w:val="16"/>
        </w:rPr>
      </w:pPr>
      <w:r>
        <w:rPr>
          <w:b/>
          <w:bCs/>
          <w:sz w:val="16"/>
          <w:szCs w:val="16"/>
        </w:rPr>
        <w:t>Kata Kunci:</w:t>
      </w:r>
      <w:r>
        <w:rPr>
          <w:sz w:val="16"/>
          <w:szCs w:val="16"/>
        </w:rPr>
        <w:t xml:space="preserve"> Representasi Disabilitas, Media Daring, Jurnalisme Inklusif, Komodifikasi, Pedoman Pemberitaan Ramah Disabilitas (PPRD), Sintesis Literatur</w:t>
      </w:r>
    </w:p>
    <w:tbl>
      <w:tblPr>
        <w:tblStyle w:val="a"/>
        <w:tblpPr w:leftFromText="180" w:rightFromText="180" w:topFromText="180" w:bottomFromText="180" w:vertAnchor="text" w:tblpX="80" w:tblpY="218"/>
        <w:tblW w:w="3029" w:type="dxa"/>
        <w:tblInd w:w="0" w:type="dxa"/>
        <w:tblLayout w:type="fixed"/>
        <w:tblLook w:val="0000" w:firstRow="0" w:lastRow="0" w:firstColumn="0" w:lastColumn="0" w:noHBand="0" w:noVBand="0"/>
      </w:tblPr>
      <w:tblGrid>
        <w:gridCol w:w="3029"/>
      </w:tblGrid>
      <w:tr w:rsidR="006C6240" w14:paraId="6541A0CC" w14:textId="77777777">
        <w:trPr>
          <w:trHeight w:val="1241"/>
        </w:trPr>
        <w:tc>
          <w:tcPr>
            <w:tcW w:w="3029" w:type="dxa"/>
            <w:tcBorders>
              <w:top w:val="nil"/>
              <w:left w:val="nil"/>
              <w:bottom w:val="nil"/>
              <w:right w:val="nil"/>
            </w:tcBorders>
            <w:tcMar>
              <w:top w:w="0" w:type="dxa"/>
              <w:left w:w="0" w:type="dxa"/>
              <w:bottom w:w="0" w:type="dxa"/>
              <w:right w:w="0" w:type="dxa"/>
            </w:tcMar>
          </w:tcPr>
          <w:p w14:paraId="4318C64E" w14:textId="77777777" w:rsidR="006C6240" w:rsidRDefault="00000000">
            <w:pPr>
              <w:ind w:right="113"/>
              <w:jc w:val="left"/>
              <w:rPr>
                <w:sz w:val="16"/>
                <w:szCs w:val="16"/>
              </w:rPr>
            </w:pPr>
            <w:r>
              <w:rPr>
                <w:sz w:val="16"/>
                <w:szCs w:val="16"/>
              </w:rPr>
              <w:t xml:space="preserve">DOI: </w:t>
            </w:r>
            <w:hyperlink r:id="rId12">
              <w:r>
                <w:rPr>
                  <w:color w:val="0000FF"/>
                  <w:sz w:val="16"/>
                  <w:szCs w:val="16"/>
                  <w:u w:val="single"/>
                </w:rPr>
                <w:t>https://doi.org/10.xxxxx/xxxxx</w:t>
              </w:r>
            </w:hyperlink>
          </w:p>
          <w:p w14:paraId="287C67D8" w14:textId="77777777" w:rsidR="006C6240" w:rsidRDefault="00000000">
            <w:pPr>
              <w:ind w:right="113"/>
              <w:jc w:val="left"/>
              <w:rPr>
                <w:sz w:val="16"/>
                <w:szCs w:val="16"/>
              </w:rPr>
            </w:pPr>
            <w:r>
              <w:rPr>
                <w:sz w:val="16"/>
                <w:szCs w:val="16"/>
              </w:rPr>
              <w:t>*Correspondence: Full Name</w:t>
            </w:r>
          </w:p>
          <w:p w14:paraId="47A88436" w14:textId="77777777" w:rsidR="006C6240" w:rsidRDefault="00000000">
            <w:pPr>
              <w:ind w:right="113"/>
              <w:jc w:val="left"/>
              <w:rPr>
                <w:sz w:val="16"/>
                <w:szCs w:val="16"/>
              </w:rPr>
            </w:pPr>
            <w:r>
              <w:rPr>
                <w:sz w:val="16"/>
                <w:szCs w:val="16"/>
              </w:rPr>
              <w:t xml:space="preserve">Email: </w:t>
            </w:r>
            <w:hyperlink r:id="rId13">
              <w:r>
                <w:rPr>
                  <w:color w:val="0000FF"/>
                  <w:sz w:val="16"/>
                  <w:szCs w:val="16"/>
                  <w:u w:val="single"/>
                </w:rPr>
                <w:t>email@e-mail.com</w:t>
              </w:r>
            </w:hyperlink>
          </w:p>
          <w:p w14:paraId="26E4F50B" w14:textId="77777777" w:rsidR="006C6240" w:rsidRDefault="006C6240">
            <w:pPr>
              <w:ind w:right="113"/>
              <w:jc w:val="left"/>
              <w:rPr>
                <w:sz w:val="16"/>
                <w:szCs w:val="16"/>
              </w:rPr>
            </w:pPr>
          </w:p>
          <w:p w14:paraId="38997047" w14:textId="77777777" w:rsidR="006C6240" w:rsidRDefault="00000000">
            <w:pPr>
              <w:ind w:right="113"/>
              <w:jc w:val="left"/>
              <w:rPr>
                <w:rFonts w:ascii="SimSun" w:eastAsia="SimSun" w:hAnsi="SimSun" w:cs="SimSun"/>
                <w:sz w:val="16"/>
                <w:szCs w:val="16"/>
              </w:rPr>
            </w:pPr>
            <w:r>
              <w:rPr>
                <w:sz w:val="16"/>
                <w:szCs w:val="16"/>
              </w:rPr>
              <w:t>Received: date</w:t>
            </w:r>
          </w:p>
          <w:p w14:paraId="71751FFE" w14:textId="77777777" w:rsidR="006C6240" w:rsidRDefault="00000000">
            <w:pPr>
              <w:ind w:right="113"/>
              <w:jc w:val="left"/>
              <w:rPr>
                <w:sz w:val="16"/>
                <w:szCs w:val="16"/>
              </w:rPr>
            </w:pPr>
            <w:r>
              <w:rPr>
                <w:sz w:val="16"/>
                <w:szCs w:val="16"/>
              </w:rPr>
              <w:t>Accepted: date</w:t>
            </w:r>
          </w:p>
          <w:p w14:paraId="35594910" w14:textId="77777777" w:rsidR="006C6240" w:rsidRDefault="00000000">
            <w:pPr>
              <w:spacing w:after="240"/>
              <w:ind w:right="113"/>
              <w:jc w:val="left"/>
              <w:rPr>
                <w:sz w:val="16"/>
                <w:szCs w:val="16"/>
              </w:rPr>
            </w:pPr>
            <w:r>
              <w:rPr>
                <w:sz w:val="16"/>
                <w:szCs w:val="16"/>
              </w:rPr>
              <w:t>Published: date</w:t>
            </w:r>
          </w:p>
          <w:p w14:paraId="3D54B2F8" w14:textId="77777777" w:rsidR="006C6240" w:rsidRDefault="00000000">
            <w:pPr>
              <w:spacing w:before="240"/>
              <w:ind w:right="113"/>
              <w:jc w:val="left"/>
              <w:rPr>
                <w:sz w:val="16"/>
                <w:szCs w:val="16"/>
              </w:rPr>
            </w:pPr>
            <w:r>
              <w:rPr>
                <w:noProof/>
                <w:sz w:val="16"/>
                <w:szCs w:val="16"/>
              </w:rPr>
              <w:drawing>
                <wp:inline distT="0" distB="0" distL="114300" distR="114300" wp14:anchorId="7B2202DE" wp14:editId="62D4FA34">
                  <wp:extent cx="695325" cy="24701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95325" cy="247015"/>
                          </a:xfrm>
                          <a:prstGeom prst="rect">
                            <a:avLst/>
                          </a:prstGeom>
                          <a:ln/>
                        </pic:spPr>
                      </pic:pic>
                    </a:graphicData>
                  </a:graphic>
                </wp:inline>
              </w:drawing>
            </w:r>
          </w:p>
          <w:p w14:paraId="7562AADC" w14:textId="77777777" w:rsidR="006C6240" w:rsidRDefault="00000000">
            <w:pPr>
              <w:spacing w:before="60"/>
              <w:ind w:right="113"/>
              <w:rPr>
                <w:sz w:val="14"/>
                <w:szCs w:val="14"/>
              </w:rPr>
            </w:pPr>
            <w:r>
              <w:rPr>
                <w:b/>
                <w:bCs/>
                <w:sz w:val="16"/>
                <w:szCs w:val="16"/>
              </w:rPr>
              <w:t>Copyright:</w:t>
            </w:r>
            <w:r>
              <w:rPr>
                <w:sz w:val="16"/>
                <w:szCs w:val="16"/>
              </w:rPr>
              <w:t xml:space="preserve"> © 2024 by the authors. Submitted for open access publication under the terms and conditions of the Creative Commons Attribution (CC BY) license (http://creativecommons.org/licenses/by/4.0/).</w:t>
            </w:r>
          </w:p>
        </w:tc>
      </w:tr>
    </w:tbl>
    <w:p w14:paraId="21C29B16" w14:textId="77777777" w:rsidR="006C6240" w:rsidRDefault="00000000">
      <w:pPr>
        <w:spacing w:before="240"/>
        <w:ind w:left="284"/>
        <w:rPr>
          <w:sz w:val="18"/>
          <w:szCs w:val="18"/>
        </w:rPr>
      </w:pPr>
      <w:r>
        <w:rPr>
          <w:b/>
          <w:bCs/>
          <w:sz w:val="18"/>
          <w:szCs w:val="18"/>
        </w:rPr>
        <w:t xml:space="preserve">Abstract: </w:t>
      </w:r>
      <w:r>
        <w:rPr>
          <w:sz w:val="18"/>
          <w:szCs w:val="18"/>
        </w:rPr>
        <w:t xml:space="preserve">The representation of people with disabilities in online media in Indonesia remains caught in the dichotomy between commercial interests and the fulfillment of the press’s social responsibility. This study aims to map patterns of disability narratives through a literature synthesis to identify the framing between economic exploitation and inclusive journalism practices. The approach used is a descriptive qualitative literature review, analyzing 12 academic articles and research reports over the past ten years. The findings of this study reveal a significant polarization of narratives: on one hand, the media tends to exploit suffering to drive traffic through clickbait strategies, while simultaneously committing symbolic violence through the use of euphemistic language and gendered metaphors that degrade the dignity of the subjects. Although inclusive journalism practices based on the Disability-Friendly Reporting Guidelines (PPRD) are beginning to show progress, the phenomenon of “disability without the disabled” still dominates because it disregards the voices of people with disabilities in abstract narratives. This study concludes that a paradigm shift from the Social Pathology Model toward a human rights-based narrative, along with the consistent implementation of the PPRD, is an absolute prerequisite for media institutions in fulfilling their public education function. This study contributes to the development of diversity journalism by strengthening the representation of independent people with disabilities in the digital space. </w:t>
      </w:r>
    </w:p>
    <w:p w14:paraId="41C460D3" w14:textId="77777777" w:rsidR="006C6240" w:rsidRDefault="00000000">
      <w:pPr>
        <w:spacing w:before="240"/>
        <w:ind w:left="284"/>
        <w:rPr>
          <w:sz w:val="18"/>
          <w:szCs w:val="18"/>
        </w:rPr>
      </w:pPr>
      <w:r>
        <w:rPr>
          <w:b/>
          <w:bCs/>
          <w:sz w:val="18"/>
          <w:szCs w:val="18"/>
        </w:rPr>
        <w:t xml:space="preserve">Keywords: </w:t>
      </w:r>
      <w:r>
        <w:rPr>
          <w:sz w:val="18"/>
          <w:szCs w:val="18"/>
        </w:rPr>
        <w:t>Representation of Disability, Online Media, Inclusive Journalism, Commodification, Disability-Friendly Reporting Guidelines (PPRD), Literature Review</w:t>
      </w:r>
    </w:p>
    <w:p w14:paraId="25C36395" w14:textId="77777777" w:rsidR="006C6240" w:rsidRDefault="006C6240">
      <w:pPr>
        <w:pBdr>
          <w:bottom w:val="single" w:sz="6" w:space="1" w:color="000000"/>
        </w:pBdr>
        <w:spacing w:before="240"/>
        <w:rPr>
          <w:i/>
          <w:iCs/>
          <w:sz w:val="18"/>
          <w:szCs w:val="18"/>
        </w:rPr>
      </w:pPr>
    </w:p>
    <w:p w14:paraId="53D0184E" w14:textId="77777777" w:rsidR="006C6240" w:rsidRDefault="00000000">
      <w:pPr>
        <w:spacing w:before="240" w:after="60" w:line="228" w:lineRule="auto"/>
        <w:jc w:val="left"/>
        <w:rPr>
          <w:sz w:val="24"/>
          <w:szCs w:val="24"/>
        </w:rPr>
      </w:pPr>
      <w:commentRangeStart w:id="1"/>
      <w:r>
        <w:rPr>
          <w:b/>
          <w:bCs/>
          <w:sz w:val="24"/>
          <w:szCs w:val="24"/>
        </w:rPr>
        <w:lastRenderedPageBreak/>
        <w:t>Pendahuluan</w:t>
      </w:r>
      <w:commentRangeEnd w:id="1"/>
      <w:r w:rsidR="00F402F6">
        <w:rPr>
          <w:rStyle w:val="CommentReference"/>
          <w:sz w:val="24"/>
          <w:szCs w:val="24"/>
        </w:rPr>
        <w:commentReference w:id="1"/>
      </w:r>
    </w:p>
    <w:p w14:paraId="7141459E" w14:textId="77777777" w:rsidR="006C6240" w:rsidRDefault="00000000">
      <w:pPr>
        <w:spacing w:after="60" w:line="228" w:lineRule="auto"/>
        <w:ind w:firstLine="720"/>
        <w:rPr>
          <w:sz w:val="24"/>
          <w:szCs w:val="24"/>
          <w:highlight w:val="white"/>
        </w:rPr>
      </w:pPr>
      <w:r>
        <w:rPr>
          <w:sz w:val="24"/>
          <w:szCs w:val="24"/>
        </w:rPr>
        <w:t xml:space="preserve">Penyandang disabilitas secara global mencakup sekitar 16% atau sekitar 1,3 miliar jiwa dari total populasi dunia </w:t>
      </w:r>
      <w:r>
        <w:rPr>
          <w:sz w:val="24"/>
          <w:szCs w:val="24"/>
          <w:highlight w:val="white"/>
        </w:rPr>
        <w:t xml:space="preserve">(World Health Organization, 2011), namun kelompok ini secara konsisten mengalami fenomena minimnya representasi atau under-representation di media massa (Al Fajri &amp; Isti’anah, 2025; Kolotouchkina et al., 2021). Walaupun disabilitas adalah realitas sosial yang signifikan, mayoritas masyarakat membangun pemahaman mereka tentang kondisi tersebut melalui konstruksi narasi media daripada keterlibatan interaksi langsung (Melchior, 2024; Nurhaqiqi, 2018). </w:t>
      </w:r>
      <w:r>
        <w:rPr>
          <w:sz w:val="24"/>
          <w:szCs w:val="24"/>
        </w:rPr>
        <w:t>Berlandaskan Teori Tanggung Jawab Sosial, media massa mempunyai kewajiban moral untuk menyajikan informasi yang jujur, menyeluruh, serta memberikan perlindungan kepada kelompok minoritas agar tidak terpinggirkan oleh dominasi mayoritas</w:t>
      </w:r>
      <w:r>
        <w:rPr>
          <w:sz w:val="24"/>
          <w:szCs w:val="24"/>
          <w:highlight w:val="white"/>
        </w:rPr>
        <w:t xml:space="preserve"> (Raodatuljanah et al., 2024; Setiana et al., 2025). Akan tetapi, di Indonesia masih ada kesenjangan yang signifikan antara regulasi bersifat progresif, seperti Undang-Undang Nomor 8 Tahun 2016 mengenai jaminan hak bebas stigma, dengan praktik jurnalisme di lapangan yang masih sering menempatkan penyandang disabilitas sebagai subjek marginal (Firdaus, 2022; Setiana et al., 2025). </w:t>
      </w:r>
    </w:p>
    <w:p w14:paraId="7018C411" w14:textId="77777777" w:rsidR="006C6240" w:rsidRDefault="00000000">
      <w:pPr>
        <w:spacing w:after="60" w:line="228" w:lineRule="auto"/>
        <w:ind w:firstLine="720"/>
        <w:rPr>
          <w:sz w:val="24"/>
          <w:szCs w:val="24"/>
          <w:highlight w:val="white"/>
        </w:rPr>
      </w:pPr>
      <w:r>
        <w:rPr>
          <w:sz w:val="24"/>
          <w:szCs w:val="24"/>
          <w:highlight w:val="white"/>
        </w:rPr>
        <w:t>Di Indonesia, persoalan ini bukan lagi sekedar masalah kuantitas pemberitaan, melainkan kualitas pembingkaian (</w:t>
      </w:r>
      <w:r>
        <w:rPr>
          <w:i/>
          <w:iCs/>
          <w:sz w:val="24"/>
          <w:szCs w:val="24"/>
          <w:highlight w:val="white"/>
        </w:rPr>
        <w:t>framing</w:t>
      </w:r>
      <w:r>
        <w:rPr>
          <w:sz w:val="24"/>
          <w:szCs w:val="24"/>
          <w:highlight w:val="white"/>
        </w:rPr>
        <w:t xml:space="preserve">) yang seringkali bias dan berpotensi memperkuat stigma negatif (Kumalasari et al., 2021; Raodatuljanah et al., 2024). Kajian terkini menunjukkan adanya dominasi Model Medis atau Patologi Sosial, kondisi di mana penyandang disabilitas diposisikan sebagai “pasien” atau “penderita” pasif yang memerlukan bantuan serta belas kasihan (Al Fajri &amp; Isti’anah, 2025; Nurhaqiqi, 2018). Situasi ini semakin diperburuk oleh praktik komodifikasi penderitaan, yaitu praktik media daring mengeksploitasi peristiwa kekerasan terhadap penyandang disabilitas melalui pemilihan diksi yang dramatis dan sadistik guna mengejar keuntungan ekonomi melalui mekanisme </w:t>
      </w:r>
      <w:r>
        <w:rPr>
          <w:i/>
          <w:iCs/>
          <w:sz w:val="24"/>
          <w:szCs w:val="24"/>
          <w:highlight w:val="white"/>
        </w:rPr>
        <w:t xml:space="preserve">clickbait </w:t>
      </w:r>
      <w:r>
        <w:rPr>
          <w:sz w:val="24"/>
          <w:szCs w:val="24"/>
          <w:highlight w:val="white"/>
        </w:rPr>
        <w:t>(Firdaus, 2022; Solihin et al., 2022).</w:t>
      </w:r>
    </w:p>
    <w:p w14:paraId="0126C22E" w14:textId="77777777" w:rsidR="006C6240" w:rsidRDefault="00000000">
      <w:pPr>
        <w:spacing w:after="60" w:line="228" w:lineRule="auto"/>
        <w:ind w:firstLine="720"/>
        <w:rPr>
          <w:sz w:val="24"/>
          <w:szCs w:val="24"/>
          <w:highlight w:val="white"/>
        </w:rPr>
      </w:pPr>
      <w:r>
        <w:rPr>
          <w:sz w:val="24"/>
          <w:szCs w:val="24"/>
          <w:highlight w:val="white"/>
        </w:rPr>
        <w:t xml:space="preserve">Terdapat perdebatan dan hipotesis yang saling bertentangan mengenai cara media menggambarkan atau merepresentasikan kelompok disabilitas. Di satu sisi, terdapat narasi “superscrip” yang mengadopsi narasi prestasi luar biasa penyandang disabilitas, namun pendekatan ini dikritik karena dipandang mengaburkan hambatan struktural nyata yang dihadapi oleh kelompok disabilitas dalam menghadapi kehidupan sehari-hari (Kolotouchkina et al., 2021; Nurhaqiqi, 2018). Di sisi lain, terdapat praktik kekerasan simbolik melalui manipulasi atau permainan bahasa, seperti penggunaan istilah “rudapaksa” atau eufemisme yang memperhalus kriminal sekaligus merendahkan martabat korban (Fatim et al., 2024; Kumalasari et al., 2021). Gabungan dari pola-pola yang ada memicu lahirnya fenomena </w:t>
      </w:r>
      <w:r>
        <w:rPr>
          <w:i/>
          <w:iCs/>
          <w:sz w:val="24"/>
          <w:szCs w:val="24"/>
          <w:highlight w:val="white"/>
        </w:rPr>
        <w:t>disability without the disabled</w:t>
      </w:r>
      <w:r>
        <w:rPr>
          <w:sz w:val="24"/>
          <w:szCs w:val="24"/>
          <w:highlight w:val="white"/>
        </w:rPr>
        <w:t xml:space="preserve">, </w:t>
      </w:r>
      <w:r>
        <w:rPr>
          <w:sz w:val="24"/>
          <w:szCs w:val="24"/>
        </w:rPr>
        <w:t xml:space="preserve">dimana isu disabilitas dibahas tanpa menghadirkan atau melibatkan suara penyandang disabilitas itu sendiri </w:t>
      </w:r>
      <w:r>
        <w:rPr>
          <w:sz w:val="24"/>
          <w:szCs w:val="24"/>
          <w:highlight w:val="white"/>
        </w:rPr>
        <w:t>(Melchior, 2024).</w:t>
      </w:r>
    </w:p>
    <w:p w14:paraId="46F417E2" w14:textId="77777777" w:rsidR="006C6240" w:rsidRDefault="00000000">
      <w:pPr>
        <w:spacing w:after="60" w:line="228" w:lineRule="auto"/>
        <w:ind w:firstLine="720"/>
        <w:rPr>
          <w:sz w:val="24"/>
          <w:szCs w:val="24"/>
          <w:highlight w:val="white"/>
        </w:rPr>
      </w:pPr>
      <w:r>
        <w:rPr>
          <w:sz w:val="24"/>
          <w:szCs w:val="24"/>
          <w:highlight w:val="white"/>
        </w:rPr>
        <w:t>Meskipun beberapa media prionir seperti Tempo.co mulai menerapkan prinsip-prinsip jurnalisme inklusif dengan menempatkan penyandang disabilitas sebagai subjek aktif yang berdaya, namun pola stigmatisasi masih mendominasi ekosistem media digital secara keseluruhan (Kumalasari et al., 2021; Raisa, 2023). Oleh karena itu, penelitian ini berupaya melakukan analisis terhadap narasi disabilitas pada media daring di Indonesia dengan fokus utama pada pola pembingkaian serta penggunaan diksi melalui sintesis literatur dalam rentang sepuluh tahun terakhir. Kajian ini menyimpulkan bahwa pergeseran paradigma dari Model Patologi Sosial menuju Model Hak Asasi Manusia merupakan sebuah tuntutan etis yang mendesak bagi pers guna menyelaraskan kepentingan bisnis dengan fungsi edukasi publik yang adil dan bermartabat (Al Fajri &amp; Isti’anah, 2025; Raodatuljanah et al., 2024).</w:t>
      </w:r>
    </w:p>
    <w:p w14:paraId="1D450349" w14:textId="77777777" w:rsidR="006C6240" w:rsidRDefault="00000000">
      <w:pPr>
        <w:spacing w:before="240" w:after="60" w:line="228" w:lineRule="auto"/>
        <w:jc w:val="left"/>
        <w:rPr>
          <w:sz w:val="24"/>
          <w:szCs w:val="24"/>
          <w:highlight w:val="yellow"/>
        </w:rPr>
      </w:pPr>
      <w:r>
        <w:rPr>
          <w:b/>
          <w:bCs/>
          <w:sz w:val="24"/>
          <w:szCs w:val="24"/>
        </w:rPr>
        <w:t>Metode Penelitian</w:t>
      </w:r>
    </w:p>
    <w:p w14:paraId="7B9BBFB6" w14:textId="77777777" w:rsidR="006C6240" w:rsidRDefault="00000000">
      <w:pPr>
        <w:spacing w:line="228" w:lineRule="auto"/>
        <w:ind w:firstLine="720"/>
        <w:rPr>
          <w:sz w:val="24"/>
          <w:szCs w:val="24"/>
        </w:rPr>
      </w:pPr>
      <w:r>
        <w:rPr>
          <w:sz w:val="24"/>
          <w:szCs w:val="24"/>
        </w:rPr>
        <w:t>Penelitian ini menerapkan metode studi literatur dengan pendekatan deskriptif kualitatif guna memetakan dinamika representasi disabilitas secara sistematis. Data dikumpulkan melalui penelusuran literatur ilmiah yang berbasis data akademik Google Scholar serta portal jurnal terakreditasi SINTA dengan memanfaatkan kata kunci yang sistematis meliputi “disabilitas”, “media daring”, “representasi”, “</w:t>
      </w:r>
      <w:r>
        <w:rPr>
          <w:i/>
          <w:iCs/>
          <w:sz w:val="24"/>
          <w:szCs w:val="24"/>
        </w:rPr>
        <w:t>clickbait</w:t>
      </w:r>
      <w:r>
        <w:rPr>
          <w:sz w:val="24"/>
          <w:szCs w:val="24"/>
        </w:rPr>
        <w:t xml:space="preserve">”, hingga “pemberitaan ramah disabilitas”. Guna menjamin kualitas data dan memungkinkan replikasi penelitian, seleksi literatur didasarkan pada sejumlah kriteria inklusi yaitu publikasi ilmiah dalam rentang waktu sepuluh tahun terakhir yang berfokus pada strategi wacana atau penggunaan diksi media dalam konteks isu disabilitas, serta mencakup media massa Indonesia dengan dukungan rujukan internasional sebagai kerangka acuan global. Berdasarkan hasil penelusuran tersebut, terpilih 12 artikel rujukan sebagai unit analisis primer yang menyajikan temuan spesifik mengenai praktik eksploitasi penderitaan, kekerasan simbolik dalam bahasa, hingga dominasi model medis di media digital. </w:t>
      </w:r>
    </w:p>
    <w:p w14:paraId="2116B22A" w14:textId="77777777" w:rsidR="006C6240" w:rsidRDefault="00000000">
      <w:pPr>
        <w:spacing w:line="228" w:lineRule="auto"/>
        <w:ind w:firstLine="720"/>
        <w:rPr>
          <w:sz w:val="24"/>
          <w:szCs w:val="24"/>
          <w:highlight w:val="white"/>
        </w:rPr>
      </w:pPr>
      <w:r>
        <w:rPr>
          <w:sz w:val="24"/>
          <w:szCs w:val="24"/>
          <w:highlight w:val="white"/>
        </w:rPr>
        <w:t>Analisis data kemudian dilakukan dengan teknik analisis isi (</w:t>
      </w:r>
      <w:r>
        <w:rPr>
          <w:i/>
          <w:iCs/>
          <w:sz w:val="24"/>
          <w:szCs w:val="24"/>
          <w:highlight w:val="white"/>
        </w:rPr>
        <w:t>content</w:t>
      </w:r>
      <w:r>
        <w:rPr>
          <w:sz w:val="24"/>
          <w:szCs w:val="24"/>
          <w:highlight w:val="white"/>
        </w:rPr>
        <w:t xml:space="preserve"> </w:t>
      </w:r>
      <w:r>
        <w:rPr>
          <w:i/>
          <w:iCs/>
          <w:sz w:val="24"/>
          <w:szCs w:val="24"/>
          <w:highlight w:val="white"/>
        </w:rPr>
        <w:t>analysis</w:t>
      </w:r>
      <w:r>
        <w:rPr>
          <w:sz w:val="24"/>
          <w:szCs w:val="24"/>
          <w:highlight w:val="white"/>
        </w:rPr>
        <w:t>)</w:t>
      </w:r>
      <w:r>
        <w:rPr>
          <w:b/>
          <w:bCs/>
          <w:sz w:val="24"/>
          <w:szCs w:val="24"/>
          <w:highlight w:val="white"/>
        </w:rPr>
        <w:t xml:space="preserve"> </w:t>
      </w:r>
      <w:r>
        <w:rPr>
          <w:sz w:val="24"/>
          <w:szCs w:val="24"/>
          <w:highlight w:val="white"/>
        </w:rPr>
        <w:t xml:space="preserve">kualitatif melalui enam tahapan sistematis. Tahapan dimulai dengan </w:t>
      </w:r>
      <w:r>
        <w:rPr>
          <w:i/>
          <w:iCs/>
          <w:sz w:val="24"/>
          <w:szCs w:val="24"/>
          <w:highlight w:val="white"/>
        </w:rPr>
        <w:t xml:space="preserve">unitizing </w:t>
      </w:r>
      <w:r>
        <w:rPr>
          <w:sz w:val="24"/>
          <w:szCs w:val="24"/>
          <w:highlight w:val="white"/>
        </w:rPr>
        <w:t xml:space="preserve">untuk mengidentifikasi frasa dan diksi spesifik seperti “rudapaksa” atau “cacat”, kemudian dilanjutkan dengan </w:t>
      </w:r>
      <w:r>
        <w:rPr>
          <w:i/>
          <w:iCs/>
          <w:sz w:val="24"/>
          <w:szCs w:val="24"/>
          <w:highlight w:val="white"/>
        </w:rPr>
        <w:t xml:space="preserve">sampling </w:t>
      </w:r>
      <w:r>
        <w:rPr>
          <w:sz w:val="24"/>
          <w:szCs w:val="24"/>
          <w:highlight w:val="white"/>
        </w:rPr>
        <w:t xml:space="preserve">untuk memilih bagian teks yang relevan dengan penelitian, serta </w:t>
      </w:r>
      <w:r>
        <w:rPr>
          <w:i/>
          <w:iCs/>
          <w:sz w:val="24"/>
          <w:szCs w:val="24"/>
          <w:highlight w:val="white"/>
        </w:rPr>
        <w:t xml:space="preserve">recording </w:t>
      </w:r>
      <w:r>
        <w:rPr>
          <w:sz w:val="24"/>
          <w:szCs w:val="24"/>
          <w:highlight w:val="white"/>
        </w:rPr>
        <w:t xml:space="preserve">atau pengkodean tema seperti </w:t>
      </w:r>
      <w:r>
        <w:rPr>
          <w:i/>
          <w:iCs/>
          <w:sz w:val="24"/>
          <w:szCs w:val="24"/>
          <w:highlight w:val="white"/>
        </w:rPr>
        <w:t xml:space="preserve">clickbait </w:t>
      </w:r>
      <w:r>
        <w:rPr>
          <w:sz w:val="24"/>
          <w:szCs w:val="24"/>
          <w:highlight w:val="white"/>
        </w:rPr>
        <w:t xml:space="preserve">atau pelabelan negatif. Tahapan selanjutnya adalah </w:t>
      </w:r>
      <w:r>
        <w:rPr>
          <w:i/>
          <w:iCs/>
          <w:sz w:val="24"/>
          <w:szCs w:val="24"/>
          <w:highlight w:val="white"/>
        </w:rPr>
        <w:t xml:space="preserve">reducing </w:t>
      </w:r>
      <w:r>
        <w:rPr>
          <w:sz w:val="24"/>
          <w:szCs w:val="24"/>
          <w:highlight w:val="white"/>
        </w:rPr>
        <w:t xml:space="preserve">untuk menyederhanakan temuan ke dalam kategori besar seperti Model Patologi Sosial maupun Model Hak Asasi Manusia, lalu dilanjutkan dengan tahapan </w:t>
      </w:r>
      <w:r>
        <w:rPr>
          <w:i/>
          <w:iCs/>
          <w:sz w:val="24"/>
          <w:szCs w:val="24"/>
          <w:highlight w:val="white"/>
        </w:rPr>
        <w:t xml:space="preserve">inferring </w:t>
      </w:r>
      <w:r>
        <w:rPr>
          <w:sz w:val="24"/>
          <w:szCs w:val="24"/>
          <w:highlight w:val="white"/>
        </w:rPr>
        <w:t xml:space="preserve">guna menginterpretasikan keterkaitan antara motif ekonomi media dengan dampak sosiologi yang ditimbulkan. Tahapan terakhir adalah </w:t>
      </w:r>
      <w:r>
        <w:rPr>
          <w:i/>
          <w:iCs/>
          <w:sz w:val="24"/>
          <w:szCs w:val="24"/>
          <w:highlight w:val="white"/>
        </w:rPr>
        <w:t>narrating</w:t>
      </w:r>
      <w:r>
        <w:rPr>
          <w:sz w:val="24"/>
          <w:szCs w:val="24"/>
          <w:highlight w:val="white"/>
        </w:rPr>
        <w:t xml:space="preserve">, yaitu penyajian hasil analisis penelitian secara menyeluruh dan komprehensif. </w:t>
      </w:r>
    </w:p>
    <w:p w14:paraId="7EBDB146" w14:textId="77777777" w:rsidR="006C6240" w:rsidRDefault="00000000">
      <w:pPr>
        <w:spacing w:before="240" w:after="60" w:line="228" w:lineRule="auto"/>
        <w:jc w:val="left"/>
        <w:rPr>
          <w:b/>
          <w:bCs/>
          <w:sz w:val="24"/>
          <w:szCs w:val="24"/>
        </w:rPr>
      </w:pPr>
      <w:commentRangeStart w:id="2"/>
      <w:r>
        <w:rPr>
          <w:b/>
          <w:bCs/>
          <w:sz w:val="24"/>
          <w:szCs w:val="24"/>
        </w:rPr>
        <w:t xml:space="preserve">Hasil dan Pembahasan </w:t>
      </w:r>
      <w:commentRangeEnd w:id="2"/>
      <w:r w:rsidR="00F402F6">
        <w:rPr>
          <w:rStyle w:val="CommentReference"/>
          <w:b/>
          <w:bCs/>
          <w:sz w:val="24"/>
          <w:szCs w:val="24"/>
        </w:rPr>
        <w:commentReference w:id="2"/>
      </w:r>
    </w:p>
    <w:p w14:paraId="4E46B73A" w14:textId="77777777" w:rsidR="006C6240" w:rsidRDefault="00000000">
      <w:pPr>
        <w:ind w:firstLine="720"/>
        <w:rPr>
          <w:sz w:val="24"/>
          <w:szCs w:val="24"/>
        </w:rPr>
      </w:pPr>
      <w:r>
        <w:rPr>
          <w:sz w:val="24"/>
          <w:szCs w:val="24"/>
        </w:rPr>
        <w:t xml:space="preserve">Hasil sintesis literatur terhadap 12 artikel artikel referensi utama mengungkapkan adanya polarisasi narasi yang bersifat kompleks dalam pemberitaan disabilitas di Indonesia. Temuan ini menegaskan bahwa representasi kelompok disabilitas masih terjebak dalam ketegangan antara kepentingan profitabilitas ekonomi yang bersifat eksploitatif dan tuntutan etis dalam mewujudkan jurnalisme inklusif. Untuk memberikan gambaran yang komprehensif terkait basis data penelitian ini, ringkasan rujukan literatur disajikan dalam Tabel 1, yang kemudian dilanjutkan dengan kategori pola narasi pada Tabel 2. </w:t>
      </w:r>
    </w:p>
    <w:p w14:paraId="09EFFC06" w14:textId="77777777" w:rsidR="006C6240" w:rsidRDefault="00000000">
      <w:pPr>
        <w:ind w:left="851"/>
        <w:jc w:val="center"/>
      </w:pPr>
      <w:r>
        <w:t xml:space="preserve">Tabel 1: Literatur Terdahulu </w:t>
      </w:r>
    </w:p>
    <w:sdt>
      <w:sdtPr>
        <w:tag w:val="goog_rdk_0"/>
        <w:id w:val="268758278"/>
        <w:lock w:val="contentLocked"/>
      </w:sdtPr>
      <w:sdtContent>
        <w:tbl>
          <w:tblPr>
            <w:tblStyle w:val="a0"/>
            <w:tblW w:w="9645" w:type="dxa"/>
            <w:jc w:val="center"/>
            <w:tblInd w:w="0" w:type="dxa"/>
            <w:tblLayout w:type="fixed"/>
            <w:tblLook w:val="0000" w:firstRow="0" w:lastRow="0" w:firstColumn="0" w:lastColumn="0" w:noHBand="0" w:noVBand="0"/>
          </w:tblPr>
          <w:tblGrid>
            <w:gridCol w:w="840"/>
            <w:gridCol w:w="2640"/>
            <w:gridCol w:w="2835"/>
            <w:gridCol w:w="3330"/>
          </w:tblGrid>
          <w:tr w:rsidR="006C6240" w14:paraId="2D8C0A10" w14:textId="77777777">
            <w:trPr>
              <w:trHeight w:val="397"/>
              <w:jc w:val="center"/>
            </w:trPr>
            <w:tc>
              <w:tcPr>
                <w:tcW w:w="840" w:type="dxa"/>
                <w:tcBorders>
                  <w:top w:val="single" w:sz="4" w:space="0" w:color="000000"/>
                  <w:left w:val="nil"/>
                  <w:bottom w:val="single" w:sz="4" w:space="0" w:color="000000"/>
                  <w:right w:val="nil"/>
                </w:tcBorders>
                <w:vAlign w:val="center"/>
              </w:tcPr>
              <w:p w14:paraId="56A41E63" w14:textId="77777777" w:rsidR="006C6240" w:rsidRDefault="00000000">
                <w:pPr>
                  <w:jc w:val="center"/>
                </w:pPr>
                <w:r>
                  <w:t>No</w:t>
                </w:r>
              </w:p>
            </w:tc>
            <w:tc>
              <w:tcPr>
                <w:tcW w:w="2640" w:type="dxa"/>
                <w:tcBorders>
                  <w:top w:val="single" w:sz="4" w:space="0" w:color="000000"/>
                  <w:left w:val="nil"/>
                  <w:bottom w:val="single" w:sz="4" w:space="0" w:color="000000"/>
                  <w:right w:val="nil"/>
                </w:tcBorders>
                <w:vAlign w:val="center"/>
              </w:tcPr>
              <w:p w14:paraId="712E9C3F" w14:textId="77777777" w:rsidR="006C6240" w:rsidRDefault="00000000">
                <w:pPr>
                  <w:jc w:val="center"/>
                </w:pPr>
                <w:r>
                  <w:t>Judul Penelitian</w:t>
                </w:r>
              </w:p>
            </w:tc>
            <w:tc>
              <w:tcPr>
                <w:tcW w:w="2835" w:type="dxa"/>
                <w:tcBorders>
                  <w:top w:val="single" w:sz="4" w:space="0" w:color="000000"/>
                  <w:left w:val="nil"/>
                  <w:bottom w:val="single" w:sz="4" w:space="0" w:color="000000"/>
                  <w:right w:val="nil"/>
                </w:tcBorders>
                <w:vAlign w:val="center"/>
              </w:tcPr>
              <w:p w14:paraId="242D0663" w14:textId="77777777" w:rsidR="006C6240" w:rsidRDefault="00000000">
                <w:pPr>
                  <w:jc w:val="center"/>
                </w:pPr>
                <w:r>
                  <w:t>Peneliti &amp; Tahun Terbit</w:t>
                </w:r>
              </w:p>
            </w:tc>
            <w:tc>
              <w:tcPr>
                <w:tcW w:w="3330" w:type="dxa"/>
                <w:tcBorders>
                  <w:top w:val="single" w:sz="4" w:space="0" w:color="000000"/>
                  <w:left w:val="nil"/>
                  <w:bottom w:val="single" w:sz="4" w:space="0" w:color="000000"/>
                  <w:right w:val="nil"/>
                </w:tcBorders>
                <w:vAlign w:val="center"/>
              </w:tcPr>
              <w:p w14:paraId="6E5AD436" w14:textId="77777777" w:rsidR="006C6240" w:rsidRDefault="00000000">
                <w:pPr>
                  <w:jc w:val="center"/>
                </w:pPr>
                <w:r>
                  <w:t>Temuan Penelitian</w:t>
                </w:r>
              </w:p>
            </w:tc>
          </w:tr>
          <w:tr w:rsidR="006C6240" w14:paraId="0A5E801D" w14:textId="77777777">
            <w:trPr>
              <w:jc w:val="center"/>
            </w:trPr>
            <w:tc>
              <w:tcPr>
                <w:tcW w:w="840" w:type="dxa"/>
                <w:tcBorders>
                  <w:top w:val="single" w:sz="4" w:space="0" w:color="000000"/>
                </w:tcBorders>
              </w:tcPr>
              <w:p w14:paraId="706AD7C2" w14:textId="77777777" w:rsidR="006C6240" w:rsidRDefault="00000000">
                <w:pPr>
                  <w:spacing w:after="120"/>
                  <w:jc w:val="center"/>
                </w:pPr>
                <w:r>
                  <w:t>1</w:t>
                </w:r>
              </w:p>
            </w:tc>
            <w:tc>
              <w:tcPr>
                <w:tcW w:w="2640" w:type="dxa"/>
                <w:tcBorders>
                  <w:top w:val="single" w:sz="4" w:space="0" w:color="000000"/>
                </w:tcBorders>
              </w:tcPr>
              <w:p w14:paraId="4DE42669" w14:textId="77777777" w:rsidR="006C6240" w:rsidRDefault="00000000">
                <w:pPr>
                  <w:spacing w:after="120"/>
                  <w:jc w:val="left"/>
                </w:pPr>
                <w:r>
                  <w:rPr>
                    <w:highlight w:val="white"/>
                  </w:rPr>
                  <w:t>News media depictions of people with mental disabilities in Indonesia</w:t>
                </w:r>
              </w:p>
            </w:tc>
            <w:tc>
              <w:tcPr>
                <w:tcW w:w="2835" w:type="dxa"/>
                <w:tcBorders>
                  <w:top w:val="single" w:sz="4" w:space="0" w:color="000000"/>
                </w:tcBorders>
              </w:tcPr>
              <w:p w14:paraId="44A26A94" w14:textId="77777777" w:rsidR="006C6240" w:rsidRDefault="00000000">
                <w:pPr>
                  <w:spacing w:after="120"/>
                  <w:jc w:val="center"/>
                </w:pPr>
                <w:r>
                  <w:rPr>
                    <w:highlight w:val="white"/>
                  </w:rPr>
                  <w:t>Al Fajri &amp; Isti’anah (2025)</w:t>
                </w:r>
              </w:p>
            </w:tc>
            <w:tc>
              <w:tcPr>
                <w:tcW w:w="3330" w:type="dxa"/>
                <w:tcBorders>
                  <w:top w:val="single" w:sz="4" w:space="0" w:color="000000"/>
                </w:tcBorders>
              </w:tcPr>
              <w:p w14:paraId="25DF80D7" w14:textId="77777777" w:rsidR="006C6240" w:rsidRDefault="00000000">
                <w:pPr>
                  <w:spacing w:after="120"/>
                  <w:jc w:val="center"/>
                </w:pPr>
                <w:r>
                  <w:rPr>
                    <w:highlight w:val="white"/>
                  </w:rPr>
                  <w:t>Dominasi pembingkaian media (label "pasien"/"penderita") dan pengaitan disabilitas dengan narasi kriminalitas</w:t>
                </w:r>
              </w:p>
            </w:tc>
          </w:tr>
          <w:tr w:rsidR="006C6240" w14:paraId="3F809663" w14:textId="77777777">
            <w:trPr>
              <w:jc w:val="center"/>
            </w:trPr>
            <w:tc>
              <w:tcPr>
                <w:tcW w:w="840" w:type="dxa"/>
              </w:tcPr>
              <w:p w14:paraId="6665A15D" w14:textId="77777777" w:rsidR="006C6240" w:rsidRDefault="00000000">
                <w:pPr>
                  <w:spacing w:after="120"/>
                  <w:jc w:val="center"/>
                </w:pPr>
                <w:r>
                  <w:t>2</w:t>
                </w:r>
              </w:p>
            </w:tc>
            <w:tc>
              <w:tcPr>
                <w:tcW w:w="2640" w:type="dxa"/>
              </w:tcPr>
              <w:p w14:paraId="63EC5BE7" w14:textId="77777777" w:rsidR="006C6240" w:rsidRDefault="00000000">
                <w:pPr>
                  <w:spacing w:after="120"/>
                  <w:jc w:val="left"/>
                </w:pPr>
                <w:r>
                  <w:t>Analisis Framing Pemberitaan Media Massa Online Detiknews.com dan Medan.tribunnews.com (Studi Berita Penganiayaan Disabilitas di Sumedang)</w:t>
                </w:r>
              </w:p>
            </w:tc>
            <w:tc>
              <w:tcPr>
                <w:tcW w:w="2835" w:type="dxa"/>
              </w:tcPr>
              <w:p w14:paraId="7D8E9511" w14:textId="77777777" w:rsidR="006C6240" w:rsidRDefault="00000000">
                <w:pPr>
                  <w:spacing w:after="120"/>
                  <w:jc w:val="center"/>
                </w:pPr>
                <w:r>
                  <w:t>Nadzir Ahmad Firdaus (2022)</w:t>
                </w:r>
              </w:p>
            </w:tc>
            <w:tc>
              <w:tcPr>
                <w:tcW w:w="3330" w:type="dxa"/>
              </w:tcPr>
              <w:p w14:paraId="61F99972" w14:textId="77777777" w:rsidR="006C6240" w:rsidRDefault="00000000">
                <w:pPr>
                  <w:spacing w:after="120"/>
                  <w:jc w:val="center"/>
                </w:pPr>
                <w:r>
                  <w:t>Media cenderung melakukan eksploitasi terhadap penderitaan penyandang disabilitas melalui pilihan kata yang dramatis demi mengejar klik pembaca (</w:t>
                </w:r>
                <w:r>
                  <w:rPr>
                    <w:i/>
                    <w:iCs/>
                  </w:rPr>
                  <w:t>clickbait</w:t>
                </w:r>
                <w:r>
                  <w:t>)</w:t>
                </w:r>
              </w:p>
            </w:tc>
          </w:tr>
          <w:tr w:rsidR="006C6240" w14:paraId="5E4F608A" w14:textId="77777777">
            <w:trPr>
              <w:jc w:val="center"/>
            </w:trPr>
            <w:tc>
              <w:tcPr>
                <w:tcW w:w="840" w:type="dxa"/>
              </w:tcPr>
              <w:p w14:paraId="431623FD" w14:textId="77777777" w:rsidR="006C6240" w:rsidRDefault="00000000">
                <w:pPr>
                  <w:spacing w:after="120"/>
                  <w:jc w:val="center"/>
                </w:pPr>
                <w:r>
                  <w:t>3</w:t>
                </w:r>
              </w:p>
            </w:tc>
            <w:tc>
              <w:tcPr>
                <w:tcW w:w="2640" w:type="dxa"/>
              </w:tcPr>
              <w:p w14:paraId="436F7A73" w14:textId="77777777" w:rsidR="006C6240" w:rsidRDefault="00000000">
                <w:pPr>
                  <w:spacing w:after="120"/>
                  <w:jc w:val="left"/>
                </w:pPr>
                <w:r>
                  <w:rPr>
                    <w:highlight w:val="white"/>
                  </w:rPr>
                  <w:t>Empati VS Eksploitasi: Melacak Media Online Ramah Disabilitas</w:t>
                </w:r>
              </w:p>
            </w:tc>
            <w:tc>
              <w:tcPr>
                <w:tcW w:w="2835" w:type="dxa"/>
              </w:tcPr>
              <w:p w14:paraId="26B969F1" w14:textId="77777777" w:rsidR="006C6240" w:rsidRDefault="00000000">
                <w:pPr>
                  <w:spacing w:after="120"/>
                  <w:jc w:val="center"/>
                </w:pPr>
                <w:r>
                  <w:rPr>
                    <w:highlight w:val="white"/>
                  </w:rPr>
                  <w:t>Elrisa Diana Kumalasari, Shinta Ayu Ardani, Elina Nurrohmah , Aninda Putri Sarwandari, Almira Aulia Azzahra, Farid Pribadi (2021)</w:t>
                </w:r>
              </w:p>
            </w:tc>
            <w:tc>
              <w:tcPr>
                <w:tcW w:w="3330" w:type="dxa"/>
              </w:tcPr>
              <w:p w14:paraId="32220610" w14:textId="77777777" w:rsidR="006C6240" w:rsidRDefault="00000000">
                <w:pPr>
                  <w:spacing w:after="120"/>
                  <w:jc w:val="center"/>
                </w:pPr>
                <w:r>
                  <w:t>Ditemukan adanya praktik kekerasan simbolik melalui eufemisme seperti istilah “rudapaksa” yang dinilai memperhalus tindakan kriminalitas</w:t>
                </w:r>
              </w:p>
            </w:tc>
          </w:tr>
          <w:tr w:rsidR="006C6240" w14:paraId="72055FFB" w14:textId="77777777">
            <w:trPr>
              <w:jc w:val="center"/>
            </w:trPr>
            <w:tc>
              <w:tcPr>
                <w:tcW w:w="840" w:type="dxa"/>
              </w:tcPr>
              <w:p w14:paraId="263767F9" w14:textId="77777777" w:rsidR="006C6240" w:rsidRDefault="00000000">
                <w:pPr>
                  <w:spacing w:after="120"/>
                  <w:jc w:val="center"/>
                </w:pPr>
                <w:r>
                  <w:t>4</w:t>
                </w:r>
              </w:p>
            </w:tc>
            <w:tc>
              <w:tcPr>
                <w:tcW w:w="2640" w:type="dxa"/>
              </w:tcPr>
              <w:p w14:paraId="369C8D21" w14:textId="77777777" w:rsidR="006C6240" w:rsidRDefault="00000000">
                <w:pPr>
                  <w:spacing w:after="120"/>
                  <w:jc w:val="left"/>
                </w:pPr>
                <w:r>
                  <w:rPr>
                    <w:highlight w:val="white"/>
                  </w:rPr>
                  <w:t>Difable Literacy: Analysis of Difable Representation in Indonesian Media</w:t>
                </w:r>
              </w:p>
            </w:tc>
            <w:tc>
              <w:tcPr>
                <w:tcW w:w="2835" w:type="dxa"/>
              </w:tcPr>
              <w:p w14:paraId="2EDF0461" w14:textId="77777777" w:rsidR="006C6240" w:rsidRDefault="00000000">
                <w:pPr>
                  <w:spacing w:after="120"/>
                  <w:jc w:val="center"/>
                </w:pPr>
                <w:r>
                  <w:rPr>
                    <w:highlight w:val="white"/>
                  </w:rPr>
                  <w:t>Hanna Nurhaqiqi (2018)</w:t>
                </w:r>
              </w:p>
            </w:tc>
            <w:tc>
              <w:tcPr>
                <w:tcW w:w="3330" w:type="dxa"/>
              </w:tcPr>
              <w:p w14:paraId="3CB7CB77" w14:textId="77777777" w:rsidR="006C6240" w:rsidRDefault="00000000">
                <w:pPr>
                  <w:spacing w:after="120"/>
                  <w:jc w:val="center"/>
                </w:pPr>
                <w:r>
                  <w:rPr>
                    <w:highlight w:val="white"/>
                  </w:rPr>
                  <w:t>Media masih dominan menggunakan istilah "Orang Cacat" yang stigmatis dibandingkan istilah "Difabel" yang inklusif</w:t>
                </w:r>
              </w:p>
            </w:tc>
          </w:tr>
          <w:tr w:rsidR="006C6240" w14:paraId="26F391BD" w14:textId="77777777">
            <w:trPr>
              <w:jc w:val="center"/>
            </w:trPr>
            <w:tc>
              <w:tcPr>
                <w:tcW w:w="840" w:type="dxa"/>
              </w:tcPr>
              <w:p w14:paraId="53401286" w14:textId="77777777" w:rsidR="006C6240" w:rsidRDefault="00000000">
                <w:pPr>
                  <w:spacing w:after="120"/>
                  <w:jc w:val="center"/>
                </w:pPr>
                <w:r>
                  <w:t>5</w:t>
                </w:r>
              </w:p>
            </w:tc>
            <w:tc>
              <w:tcPr>
                <w:tcW w:w="2640" w:type="dxa"/>
              </w:tcPr>
              <w:p w14:paraId="5C137FB6" w14:textId="77777777" w:rsidR="006C6240" w:rsidRDefault="00000000">
                <w:pPr>
                  <w:spacing w:after="120"/>
                  <w:jc w:val="left"/>
                </w:pPr>
                <w:r>
                  <w:rPr>
                    <w:highlight w:val="white"/>
                  </w:rPr>
                  <w:t>Representasi Isu Disabilitas di Media Daring</w:t>
                </w:r>
              </w:p>
            </w:tc>
            <w:tc>
              <w:tcPr>
                <w:tcW w:w="2835" w:type="dxa"/>
              </w:tcPr>
              <w:p w14:paraId="73174B92" w14:textId="77777777" w:rsidR="006C6240" w:rsidRDefault="00000000">
                <w:pPr>
                  <w:spacing w:after="120"/>
                  <w:jc w:val="center"/>
                </w:pPr>
                <w:r>
                  <w:rPr>
                    <w:highlight w:val="white"/>
                  </w:rPr>
                  <w:t>Raodatuljanah, Ken Devina, Putra Surya Setiawansyah, Amanda Syakira Maulida (2024)</w:t>
                </w:r>
              </w:p>
            </w:tc>
            <w:tc>
              <w:tcPr>
                <w:tcW w:w="3330" w:type="dxa"/>
              </w:tcPr>
              <w:p w14:paraId="5FBB13CD" w14:textId="77777777" w:rsidR="006C6240" w:rsidRDefault="00000000">
                <w:pPr>
                  <w:spacing w:after="120"/>
                  <w:jc w:val="center"/>
                </w:pPr>
                <w:r>
                  <w:t>Pola pemberitaan cenderung membingkai kasus disabilitas sebagai insiden kriminal biasa dengan pilihan kata yang bias</w:t>
                </w:r>
              </w:p>
            </w:tc>
          </w:tr>
          <w:tr w:rsidR="006C6240" w14:paraId="30733791" w14:textId="77777777">
            <w:trPr>
              <w:jc w:val="center"/>
            </w:trPr>
            <w:tc>
              <w:tcPr>
                <w:tcW w:w="840" w:type="dxa"/>
              </w:tcPr>
              <w:p w14:paraId="692AD992" w14:textId="77777777" w:rsidR="006C6240" w:rsidRDefault="00000000">
                <w:pPr>
                  <w:spacing w:after="120"/>
                  <w:jc w:val="center"/>
                </w:pPr>
                <w:r>
                  <w:t>6</w:t>
                </w:r>
              </w:p>
            </w:tc>
            <w:tc>
              <w:tcPr>
                <w:tcW w:w="2640" w:type="dxa"/>
              </w:tcPr>
              <w:p w14:paraId="2BE9B50B" w14:textId="77777777" w:rsidR="006C6240" w:rsidRDefault="00000000">
                <w:pPr>
                  <w:spacing w:after="120"/>
                  <w:jc w:val="left"/>
                </w:pPr>
                <w:r>
                  <w:rPr>
                    <w:highlight w:val="white"/>
                  </w:rPr>
                  <w:t>The representation of disability in Italian media: The case of Ansa</w:t>
                </w:r>
              </w:p>
            </w:tc>
            <w:tc>
              <w:tcPr>
                <w:tcW w:w="2835" w:type="dxa"/>
              </w:tcPr>
              <w:p w14:paraId="3FD33C44" w14:textId="77777777" w:rsidR="006C6240" w:rsidRDefault="00000000">
                <w:pPr>
                  <w:spacing w:after="120"/>
                  <w:jc w:val="center"/>
                </w:pPr>
                <w:r>
                  <w:rPr>
                    <w:highlight w:val="white"/>
                  </w:rPr>
                  <w:t>Claudio Melchior (2024)</w:t>
                </w:r>
              </w:p>
            </w:tc>
            <w:tc>
              <w:tcPr>
                <w:tcW w:w="3330" w:type="dxa"/>
              </w:tcPr>
              <w:p w14:paraId="25BBCB4E" w14:textId="77777777" w:rsidR="006C6240" w:rsidRDefault="00000000">
                <w:pPr>
                  <w:spacing w:after="120"/>
                  <w:jc w:val="center"/>
                </w:pPr>
                <w:r>
                  <w:t>Munculnya fenomena “disability without the disabled”, di mana suara penyandang disabilitas seringkali tidak ada dalam pemberitaan</w:t>
                </w:r>
              </w:p>
            </w:tc>
          </w:tr>
          <w:tr w:rsidR="006C6240" w14:paraId="158A54A7" w14:textId="77777777">
            <w:trPr>
              <w:jc w:val="center"/>
            </w:trPr>
            <w:tc>
              <w:tcPr>
                <w:tcW w:w="840" w:type="dxa"/>
              </w:tcPr>
              <w:p w14:paraId="4F279369" w14:textId="77777777" w:rsidR="006C6240" w:rsidRDefault="00000000">
                <w:pPr>
                  <w:spacing w:after="120"/>
                  <w:jc w:val="center"/>
                </w:pPr>
                <w:r>
                  <w:t>7</w:t>
                </w:r>
              </w:p>
            </w:tc>
            <w:tc>
              <w:tcPr>
                <w:tcW w:w="2640" w:type="dxa"/>
              </w:tcPr>
              <w:p w14:paraId="3C4F05E7" w14:textId="77777777" w:rsidR="006C6240" w:rsidRDefault="00000000">
                <w:pPr>
                  <w:spacing w:after="120"/>
                  <w:jc w:val="left"/>
                </w:pPr>
                <w:r>
                  <w:t>Pedoman Pemberitaan Ramah Disabilitas dalam Pembingkaian Isu Disabilitas di Difabel.tempo.co (Analisis Isi Kuantitatif Terhadap Pemberitaan Isu Disabilitas di difabel.tempo.co)</w:t>
                </w:r>
              </w:p>
            </w:tc>
            <w:tc>
              <w:tcPr>
                <w:tcW w:w="2835" w:type="dxa"/>
              </w:tcPr>
              <w:p w14:paraId="3EA231D4" w14:textId="77777777" w:rsidR="006C6240" w:rsidRDefault="00000000">
                <w:pPr>
                  <w:spacing w:after="120"/>
                  <w:jc w:val="center"/>
                </w:pPr>
                <w:r>
                  <w:t>Raisa Hamidah (2023)</w:t>
                </w:r>
              </w:p>
            </w:tc>
            <w:tc>
              <w:tcPr>
                <w:tcW w:w="3330" w:type="dxa"/>
              </w:tcPr>
              <w:p w14:paraId="6F5E73B8" w14:textId="77777777" w:rsidR="006C6240" w:rsidRDefault="00000000">
                <w:pPr>
                  <w:spacing w:after="120"/>
                  <w:jc w:val="center"/>
                </w:pPr>
                <w:r>
                  <w:t>Kepatuhan tinggi mencapai 83% sampai 99% pada media perintis inklusif dalam penggunaan terminologi dan penempatan penyandang disabilitas sebagai subjek aktif</w:t>
                </w:r>
              </w:p>
            </w:tc>
          </w:tr>
          <w:tr w:rsidR="006C6240" w14:paraId="2F24FC01" w14:textId="77777777">
            <w:trPr>
              <w:jc w:val="center"/>
            </w:trPr>
            <w:tc>
              <w:tcPr>
                <w:tcW w:w="840" w:type="dxa"/>
              </w:tcPr>
              <w:p w14:paraId="76DE596A" w14:textId="77777777" w:rsidR="006C6240" w:rsidRDefault="00000000">
                <w:pPr>
                  <w:spacing w:after="120"/>
                  <w:jc w:val="center"/>
                </w:pPr>
                <w:r>
                  <w:t>8</w:t>
                </w:r>
              </w:p>
            </w:tc>
            <w:tc>
              <w:tcPr>
                <w:tcW w:w="2640" w:type="dxa"/>
              </w:tcPr>
              <w:p w14:paraId="4B19340A" w14:textId="77777777" w:rsidR="006C6240" w:rsidRDefault="00000000">
                <w:pPr>
                  <w:spacing w:after="120"/>
                  <w:jc w:val="left"/>
                </w:pPr>
                <w:r>
                  <w:t xml:space="preserve">Tinjauan tentang </w:t>
                </w:r>
                <w:r>
                  <w:rPr>
                    <w:i/>
                    <w:iCs/>
                  </w:rPr>
                  <w:t xml:space="preserve">Clickbait </w:t>
                </w:r>
                <w:r>
                  <w:t>Media</w:t>
                </w:r>
              </w:p>
            </w:tc>
            <w:tc>
              <w:tcPr>
                <w:tcW w:w="2835" w:type="dxa"/>
              </w:tcPr>
              <w:p w14:paraId="20EE3947" w14:textId="77777777" w:rsidR="006C6240" w:rsidRDefault="00000000">
                <w:pPr>
                  <w:spacing w:after="120"/>
                  <w:jc w:val="center"/>
                </w:pPr>
                <w:r>
                  <w:rPr>
                    <w:highlight w:val="white"/>
                  </w:rPr>
                  <w:t>Olih Solihin, Rahmawati W, Farida Haryati, Yuni Mogot, Zikri Fachrul Nurhadi, Efendi Agus Waluyo (2022)</w:t>
                </w:r>
              </w:p>
            </w:tc>
            <w:tc>
              <w:tcPr>
                <w:tcW w:w="3330" w:type="dxa"/>
              </w:tcPr>
              <w:p w14:paraId="6E1823DE" w14:textId="77777777" w:rsidR="006C6240" w:rsidRDefault="00000000">
                <w:pPr>
                  <w:spacing w:after="120"/>
                  <w:jc w:val="center"/>
                </w:pPr>
                <w:r>
                  <w:rPr>
                    <w:i/>
                    <w:iCs/>
                    <w:highlight w:val="white"/>
                  </w:rPr>
                  <w:t>Clickbait</w:t>
                </w:r>
                <w:r>
                  <w:rPr>
                    <w:highlight w:val="white"/>
                  </w:rPr>
                  <w:t xml:space="preserve"> adalah strategi bisnis untuk trafik yang menurunkan kualitas dan kredibilitas jurnalistik dan kepercayaan publik</w:t>
                </w:r>
              </w:p>
            </w:tc>
          </w:tr>
          <w:tr w:rsidR="006C6240" w14:paraId="4B269302" w14:textId="77777777">
            <w:trPr>
              <w:jc w:val="center"/>
            </w:trPr>
            <w:tc>
              <w:tcPr>
                <w:tcW w:w="840" w:type="dxa"/>
              </w:tcPr>
              <w:p w14:paraId="38E46BAF" w14:textId="77777777" w:rsidR="006C6240" w:rsidRDefault="00000000">
                <w:pPr>
                  <w:spacing w:after="120"/>
                  <w:jc w:val="center"/>
                </w:pPr>
                <w:r>
                  <w:t>9</w:t>
                </w:r>
              </w:p>
            </w:tc>
            <w:tc>
              <w:tcPr>
                <w:tcW w:w="2640" w:type="dxa"/>
              </w:tcPr>
              <w:p w14:paraId="2E03F0B1" w14:textId="77777777" w:rsidR="006C6240" w:rsidRDefault="00000000">
                <w:pPr>
                  <w:spacing w:after="120"/>
                  <w:jc w:val="left"/>
                </w:pPr>
                <w:r>
                  <w:t>Regulations and Ethics of Reporting on Persons with Disabilities in the Media: A Comparative Study of Indonesia and India</w:t>
                </w:r>
              </w:p>
            </w:tc>
            <w:tc>
              <w:tcPr>
                <w:tcW w:w="2835" w:type="dxa"/>
              </w:tcPr>
              <w:p w14:paraId="68358127" w14:textId="77777777" w:rsidR="006C6240" w:rsidRDefault="00000000">
                <w:pPr>
                  <w:spacing w:after="120"/>
                  <w:jc w:val="center"/>
                </w:pPr>
                <w:r>
                  <w:rPr>
                    <w:highlight w:val="white"/>
                  </w:rPr>
                  <w:t>Winda Ayu Setiana, Hafifah Maifitri, Tia Rahadatul ’Aisyi, Ayudya Soca Tiara, Rahul Shah (2025)</w:t>
                </w:r>
              </w:p>
            </w:tc>
            <w:tc>
              <w:tcPr>
                <w:tcW w:w="3330" w:type="dxa"/>
              </w:tcPr>
              <w:p w14:paraId="67A8A09D" w14:textId="77777777" w:rsidR="006C6240" w:rsidRDefault="00000000">
                <w:pPr>
                  <w:spacing w:after="120"/>
                  <w:jc w:val="center"/>
                </w:pPr>
                <w:r>
                  <w:rPr>
                    <w:highlight w:val="white"/>
                  </w:rPr>
                  <w:t>Terdapat kesenjangan antara regulasi hukum UU No. 8 Tahun 2016 dengan realitas praktik jurnalisme yang masih stigmatis</w:t>
                </w:r>
              </w:p>
            </w:tc>
          </w:tr>
          <w:tr w:rsidR="006C6240" w14:paraId="1F9103BE" w14:textId="77777777">
            <w:trPr>
              <w:jc w:val="center"/>
            </w:trPr>
            <w:tc>
              <w:tcPr>
                <w:tcW w:w="840" w:type="dxa"/>
              </w:tcPr>
              <w:p w14:paraId="21E283C1" w14:textId="77777777" w:rsidR="006C6240" w:rsidRDefault="00000000">
                <w:pPr>
                  <w:spacing w:after="120"/>
                  <w:jc w:val="center"/>
                </w:pPr>
                <w:r>
                  <w:t>10</w:t>
                </w:r>
              </w:p>
            </w:tc>
            <w:tc>
              <w:tcPr>
                <w:tcW w:w="2640" w:type="dxa"/>
              </w:tcPr>
              <w:p w14:paraId="09E5364B" w14:textId="77777777" w:rsidR="006C6240" w:rsidRDefault="00000000">
                <w:pPr>
                  <w:spacing w:after="120"/>
                  <w:jc w:val="left"/>
                </w:pPr>
                <w:r>
                  <w:t>A Corpus-based Cognitive Analysis of Metaphors of Gender Issues in National Media</w:t>
                </w:r>
              </w:p>
            </w:tc>
            <w:tc>
              <w:tcPr>
                <w:tcW w:w="2835" w:type="dxa"/>
              </w:tcPr>
              <w:p w14:paraId="3960910C" w14:textId="77777777" w:rsidR="006C6240" w:rsidRDefault="00000000">
                <w:pPr>
                  <w:spacing w:after="120"/>
                  <w:jc w:val="center"/>
                </w:pPr>
                <w:r>
                  <w:rPr>
                    <w:highlight w:val="white"/>
                  </w:rPr>
                  <w:t>Al Lastu Nurul Fatim, M. Abdul Hamid, Mubasyiroh (2024)</w:t>
                </w:r>
              </w:p>
            </w:tc>
            <w:tc>
              <w:tcPr>
                <w:tcW w:w="3330" w:type="dxa"/>
              </w:tcPr>
              <w:p w14:paraId="48A93CDF" w14:textId="77777777" w:rsidR="006C6240" w:rsidRDefault="00000000">
                <w:pPr>
                  <w:spacing w:after="120"/>
                  <w:jc w:val="center"/>
                </w:pPr>
                <w:r>
                  <w:rPr>
                    <w:highlight w:val="white"/>
                  </w:rPr>
                  <w:t>Penggunaan metafora seperti "budak kepuasan" secara kognitif mendegradasi martabat penyandang disabilitas</w:t>
                </w:r>
              </w:p>
            </w:tc>
          </w:tr>
          <w:tr w:rsidR="006C6240" w14:paraId="7A21EB93" w14:textId="77777777">
            <w:trPr>
              <w:jc w:val="center"/>
            </w:trPr>
            <w:tc>
              <w:tcPr>
                <w:tcW w:w="840" w:type="dxa"/>
              </w:tcPr>
              <w:p w14:paraId="19494380" w14:textId="77777777" w:rsidR="006C6240" w:rsidRDefault="00000000">
                <w:pPr>
                  <w:spacing w:after="120"/>
                  <w:jc w:val="center"/>
                </w:pPr>
                <w:r>
                  <w:t>11</w:t>
                </w:r>
              </w:p>
            </w:tc>
            <w:tc>
              <w:tcPr>
                <w:tcW w:w="2640" w:type="dxa"/>
              </w:tcPr>
              <w:p w14:paraId="2AAF572C" w14:textId="77777777" w:rsidR="006C6240" w:rsidRDefault="00000000">
                <w:pPr>
                  <w:spacing w:after="120"/>
                  <w:jc w:val="left"/>
                </w:pPr>
                <w:r>
                  <w:t>Disability, Sport, and Television: Media Visibility and Representation of Paralympic Games in News Programs</w:t>
                </w:r>
              </w:p>
              <w:p w14:paraId="23B00C60" w14:textId="77777777" w:rsidR="006C6240" w:rsidRDefault="006C6240">
                <w:pPr>
                  <w:spacing w:after="120"/>
                  <w:jc w:val="left"/>
                </w:pPr>
              </w:p>
              <w:p w14:paraId="33D78D1A" w14:textId="77777777" w:rsidR="006C6240" w:rsidRDefault="006C6240">
                <w:pPr>
                  <w:spacing w:after="120"/>
                  <w:jc w:val="left"/>
                </w:pPr>
              </w:p>
            </w:tc>
            <w:tc>
              <w:tcPr>
                <w:tcW w:w="2835" w:type="dxa"/>
              </w:tcPr>
              <w:p w14:paraId="6F4CEA32" w14:textId="77777777" w:rsidR="006C6240" w:rsidRDefault="00000000">
                <w:pPr>
                  <w:spacing w:after="120"/>
                  <w:jc w:val="center"/>
                </w:pPr>
                <w:r>
                  <w:rPr>
                    <w:highlight w:val="white"/>
                  </w:rPr>
                  <w:t>Olga Kolotouchkina, Carmen Llorente-Barroso, María Luisa García-Guardia and Juan Pavón (2021)</w:t>
                </w:r>
              </w:p>
            </w:tc>
            <w:tc>
              <w:tcPr>
                <w:tcW w:w="3330" w:type="dxa"/>
              </w:tcPr>
              <w:p w14:paraId="74C17280" w14:textId="77777777" w:rsidR="006C6240" w:rsidRDefault="00000000">
                <w:pPr>
                  <w:spacing w:after="120"/>
                  <w:jc w:val="center"/>
                </w:pPr>
                <w:r>
                  <w:t>Terdapat narasi “</w:t>
                </w:r>
                <w:r>
                  <w:rPr>
                    <w:i/>
                    <w:iCs/>
                  </w:rPr>
                  <w:t>superscrip</w:t>
                </w:r>
                <w:r>
                  <w:t>” yang memposisikan atlet nasional sebagai figur pahlawan sementara atlet dari luar negeri diposisikan sebagai objek belas kasihan</w:t>
                </w:r>
              </w:p>
              <w:p w14:paraId="3C529FE5" w14:textId="77777777" w:rsidR="006C6240" w:rsidRDefault="006C6240">
                <w:pPr>
                  <w:spacing w:after="120"/>
                  <w:jc w:val="center"/>
                </w:pPr>
              </w:p>
              <w:p w14:paraId="48CCF6B9" w14:textId="77777777" w:rsidR="006C6240" w:rsidRDefault="006C6240">
                <w:pPr>
                  <w:spacing w:after="120"/>
                  <w:jc w:val="center"/>
                </w:pPr>
              </w:p>
            </w:tc>
          </w:tr>
          <w:tr w:rsidR="006C6240" w14:paraId="1F8D8151" w14:textId="77777777">
            <w:trPr>
              <w:jc w:val="center"/>
            </w:trPr>
            <w:tc>
              <w:tcPr>
                <w:tcW w:w="840" w:type="dxa"/>
                <w:tcBorders>
                  <w:top w:val="nil"/>
                  <w:left w:val="nil"/>
                  <w:bottom w:val="single" w:sz="4" w:space="0" w:color="000000"/>
                  <w:right w:val="nil"/>
                </w:tcBorders>
              </w:tcPr>
              <w:p w14:paraId="0257547A" w14:textId="77777777" w:rsidR="006C6240" w:rsidRDefault="00000000">
                <w:pPr>
                  <w:spacing w:after="120"/>
                  <w:jc w:val="center"/>
                </w:pPr>
                <w:r>
                  <w:t>12</w:t>
                </w:r>
              </w:p>
            </w:tc>
            <w:tc>
              <w:tcPr>
                <w:tcW w:w="2640" w:type="dxa"/>
                <w:tcBorders>
                  <w:top w:val="nil"/>
                  <w:left w:val="nil"/>
                  <w:bottom w:val="single" w:sz="4" w:space="0" w:color="000000"/>
                  <w:right w:val="nil"/>
                </w:tcBorders>
              </w:tcPr>
              <w:p w14:paraId="6B50795A" w14:textId="77777777" w:rsidR="006C6240" w:rsidRDefault="00000000">
                <w:pPr>
                  <w:spacing w:after="120"/>
                  <w:jc w:val="left"/>
                </w:pPr>
                <w:r>
                  <w:t>Rethinking Visibility, Personalization and Representation: Disability Activism in Social Media</w:t>
                </w:r>
              </w:p>
            </w:tc>
            <w:tc>
              <w:tcPr>
                <w:tcW w:w="2835" w:type="dxa"/>
                <w:tcBorders>
                  <w:top w:val="nil"/>
                  <w:left w:val="nil"/>
                  <w:bottom w:val="single" w:sz="4" w:space="0" w:color="000000"/>
                  <w:right w:val="nil"/>
                </w:tcBorders>
              </w:tcPr>
              <w:p w14:paraId="094C51E9" w14:textId="77777777" w:rsidR="006C6240" w:rsidRDefault="00000000">
                <w:pPr>
                  <w:spacing w:after="120"/>
                  <w:jc w:val="center"/>
                </w:pPr>
                <w:r>
                  <w:rPr>
                    <w:highlight w:val="white"/>
                  </w:rPr>
                  <w:t>Nomy Bitman (2021)</w:t>
                </w:r>
              </w:p>
            </w:tc>
            <w:tc>
              <w:tcPr>
                <w:tcW w:w="3330" w:type="dxa"/>
                <w:tcBorders>
                  <w:top w:val="nil"/>
                  <w:left w:val="nil"/>
                  <w:bottom w:val="single" w:sz="4" w:space="0" w:color="000000"/>
                  <w:right w:val="nil"/>
                </w:tcBorders>
              </w:tcPr>
              <w:p w14:paraId="4FEF0487" w14:textId="77777777" w:rsidR="006C6240" w:rsidRDefault="00000000">
                <w:pPr>
                  <w:spacing w:after="120"/>
                  <w:jc w:val="center"/>
                </w:pPr>
                <w:r>
                  <w:rPr>
                    <w:highlight w:val="white"/>
                  </w:rPr>
                  <w:t>Aktivisme media sosial memberikan ruang bagi disabilitas untuk menciptakan narasi mandiri sebagai tandingan media massa</w:t>
                </w:r>
              </w:p>
            </w:tc>
          </w:tr>
        </w:tbl>
      </w:sdtContent>
    </w:sdt>
    <w:p w14:paraId="12A6C4D7" w14:textId="77777777" w:rsidR="006C6240" w:rsidRDefault="00000000">
      <w:pPr>
        <w:jc w:val="center"/>
        <w:rPr>
          <w:sz w:val="24"/>
          <w:szCs w:val="24"/>
        </w:rPr>
      </w:pPr>
      <w:r>
        <w:t>Sumber: Olahan Peneliti, April 2026</w:t>
      </w:r>
    </w:p>
    <w:p w14:paraId="22DA195D" w14:textId="77777777" w:rsidR="006C6240" w:rsidRDefault="006C6240">
      <w:pPr>
        <w:ind w:firstLine="720"/>
        <w:rPr>
          <w:sz w:val="24"/>
          <w:szCs w:val="24"/>
        </w:rPr>
      </w:pPr>
    </w:p>
    <w:p w14:paraId="240BD389" w14:textId="77777777" w:rsidR="006C6240" w:rsidRDefault="00000000">
      <w:pPr>
        <w:ind w:firstLine="720"/>
        <w:rPr>
          <w:sz w:val="24"/>
          <w:szCs w:val="24"/>
          <w:highlight w:val="white"/>
        </w:rPr>
      </w:pPr>
      <w:r>
        <w:rPr>
          <w:sz w:val="24"/>
          <w:szCs w:val="24"/>
        </w:rPr>
        <w:t xml:space="preserve">Daftar referensi yang tertera pada Tabel 1 menunjukkan adanya keragaman fokus penelitian, mulai dari pemberitaan kasus kekerasan bersifat spesifik hingga analisis terhadap literasi difabel dalam skala makro. Namun, guna memenuhi tujuan penelitian ini dalam mengidentifikasi pola secara sistematis, bukan sekedar merangkum temuan dari masing-masing literatur secara terpisah, hasil penelitian dari ke-12 artikel tersebut memerlukan proses sintesis yang lebih mendalam. Melalui tahapan reduksi dan inferensi terhadap judul serta inti temuan tersebut, diperoleh benang merah yang mengkonvergensi data ke dalam tiga domain pola narasi utama. Klasifikasi pola tersebut merefleksikan dinamika antara praktik eksploitasi yang dipicu oleh motif ekonomi dengan dorongan ke arah jurnalisme inklusif di Indonesia selama sepuluh tahun terakhir, sebagaimana yang terangkum dalam Tabel 2 berikut. </w:t>
      </w:r>
    </w:p>
    <w:p w14:paraId="74BF04EF" w14:textId="77777777" w:rsidR="006C6240" w:rsidRDefault="006C6240">
      <w:pPr>
        <w:ind w:left="851"/>
        <w:jc w:val="center"/>
        <w:rPr>
          <w:sz w:val="24"/>
          <w:szCs w:val="24"/>
          <w:highlight w:val="yellow"/>
        </w:rPr>
      </w:pPr>
    </w:p>
    <w:p w14:paraId="5F2D40AE" w14:textId="77777777" w:rsidR="006C6240" w:rsidRDefault="00000000">
      <w:pPr>
        <w:ind w:left="851"/>
        <w:jc w:val="center"/>
      </w:pPr>
      <w:r>
        <w:t xml:space="preserve">Tabel 2: Sintesis Kategorisasi Pola Narasi Disabilitas dalam Media Daring </w:t>
      </w:r>
    </w:p>
    <w:tbl>
      <w:tblPr>
        <w:tblStyle w:val="a1"/>
        <w:tblW w:w="9135" w:type="dxa"/>
        <w:jc w:val="center"/>
        <w:tblInd w:w="0" w:type="dxa"/>
        <w:tblLayout w:type="fixed"/>
        <w:tblLook w:val="0000" w:firstRow="0" w:lastRow="0" w:firstColumn="0" w:lastColumn="0" w:noHBand="0" w:noVBand="0"/>
      </w:tblPr>
      <w:tblGrid>
        <w:gridCol w:w="2925"/>
        <w:gridCol w:w="3495"/>
        <w:gridCol w:w="2715"/>
      </w:tblGrid>
      <w:tr w:rsidR="006C6240" w14:paraId="5A4AFF36" w14:textId="77777777">
        <w:trPr>
          <w:trHeight w:val="397"/>
          <w:jc w:val="center"/>
        </w:trPr>
        <w:tc>
          <w:tcPr>
            <w:tcW w:w="2925" w:type="dxa"/>
            <w:tcBorders>
              <w:top w:val="single" w:sz="4" w:space="0" w:color="000000"/>
              <w:left w:val="nil"/>
              <w:bottom w:val="single" w:sz="4" w:space="0" w:color="000000"/>
              <w:right w:val="nil"/>
            </w:tcBorders>
            <w:vAlign w:val="center"/>
          </w:tcPr>
          <w:p w14:paraId="661736CA" w14:textId="77777777" w:rsidR="006C6240" w:rsidRDefault="00000000">
            <w:pPr>
              <w:jc w:val="center"/>
            </w:pPr>
            <w:r>
              <w:t xml:space="preserve">Kategorisasi Pola </w:t>
            </w:r>
          </w:p>
        </w:tc>
        <w:tc>
          <w:tcPr>
            <w:tcW w:w="3495" w:type="dxa"/>
            <w:tcBorders>
              <w:top w:val="single" w:sz="4" w:space="0" w:color="000000"/>
              <w:left w:val="nil"/>
              <w:bottom w:val="single" w:sz="4" w:space="0" w:color="000000"/>
              <w:right w:val="nil"/>
            </w:tcBorders>
            <w:vAlign w:val="center"/>
          </w:tcPr>
          <w:p w14:paraId="239DCC96" w14:textId="77777777" w:rsidR="006C6240" w:rsidRDefault="00000000">
            <w:pPr>
              <w:jc w:val="center"/>
            </w:pPr>
            <w:r>
              <w:t>Fokus Temuan Utama</w:t>
            </w:r>
          </w:p>
        </w:tc>
        <w:tc>
          <w:tcPr>
            <w:tcW w:w="2715" w:type="dxa"/>
            <w:tcBorders>
              <w:top w:val="single" w:sz="4" w:space="0" w:color="000000"/>
              <w:left w:val="nil"/>
              <w:bottom w:val="single" w:sz="4" w:space="0" w:color="000000"/>
              <w:right w:val="nil"/>
            </w:tcBorders>
            <w:vAlign w:val="center"/>
          </w:tcPr>
          <w:p w14:paraId="77BE4ADD" w14:textId="77777777" w:rsidR="006C6240" w:rsidRDefault="00000000">
            <w:pPr>
              <w:jc w:val="center"/>
            </w:pPr>
            <w:r>
              <w:t>Literatur Rujukan</w:t>
            </w:r>
          </w:p>
        </w:tc>
      </w:tr>
      <w:tr w:rsidR="006C6240" w14:paraId="20CC52E2" w14:textId="77777777">
        <w:trPr>
          <w:jc w:val="center"/>
        </w:trPr>
        <w:tc>
          <w:tcPr>
            <w:tcW w:w="2925" w:type="dxa"/>
            <w:tcBorders>
              <w:top w:val="single" w:sz="4" w:space="0" w:color="000000"/>
            </w:tcBorders>
          </w:tcPr>
          <w:p w14:paraId="0A2DAF6F" w14:textId="77777777" w:rsidR="006C6240" w:rsidRDefault="00000000">
            <w:pPr>
              <w:spacing w:after="120"/>
              <w:jc w:val="left"/>
            </w:pPr>
            <w:r>
              <w:t>Komodifikasi &amp; Eksploitasi</w:t>
            </w:r>
          </w:p>
        </w:tc>
        <w:tc>
          <w:tcPr>
            <w:tcW w:w="3495" w:type="dxa"/>
            <w:tcBorders>
              <w:top w:val="single" w:sz="4" w:space="0" w:color="000000"/>
            </w:tcBorders>
          </w:tcPr>
          <w:p w14:paraId="15AFEF9F" w14:textId="77777777" w:rsidR="006C6240" w:rsidRDefault="00000000">
            <w:pPr>
              <w:spacing w:after="120"/>
              <w:jc w:val="center"/>
            </w:pPr>
            <w:r>
              <w:t xml:space="preserve">Strategi clickbait, penggunaan judul berita bersifat sadistik, penciptaan fenomena hiperealitas, serta narasi tanpa subjek atau </w:t>
            </w:r>
            <w:r>
              <w:rPr>
                <w:i/>
                <w:iCs/>
              </w:rPr>
              <w:t>disability without the disabled</w:t>
            </w:r>
            <w:r>
              <w:t>.</w:t>
            </w:r>
          </w:p>
        </w:tc>
        <w:tc>
          <w:tcPr>
            <w:tcW w:w="2715" w:type="dxa"/>
            <w:tcBorders>
              <w:top w:val="single" w:sz="4" w:space="0" w:color="000000"/>
            </w:tcBorders>
          </w:tcPr>
          <w:p w14:paraId="19886661" w14:textId="77777777" w:rsidR="006C6240" w:rsidRDefault="00000000">
            <w:pPr>
              <w:spacing w:after="120"/>
              <w:jc w:val="center"/>
            </w:pPr>
            <w:r>
              <w:rPr>
                <w:highlight w:val="white"/>
              </w:rPr>
              <w:t>Al Fajri &amp; Isti’anah (2025); Firdaus (2022); Melchior (2024); Solihin et al. (2022)</w:t>
            </w:r>
          </w:p>
        </w:tc>
      </w:tr>
      <w:tr w:rsidR="006C6240" w14:paraId="4608A252" w14:textId="77777777">
        <w:trPr>
          <w:jc w:val="center"/>
        </w:trPr>
        <w:tc>
          <w:tcPr>
            <w:tcW w:w="2925" w:type="dxa"/>
          </w:tcPr>
          <w:p w14:paraId="5994720E" w14:textId="77777777" w:rsidR="006C6240" w:rsidRDefault="00000000">
            <w:pPr>
              <w:spacing w:after="120"/>
              <w:jc w:val="left"/>
            </w:pPr>
            <w:r>
              <w:t>Kekerasan Simbolik &amp; Stigma</w:t>
            </w:r>
          </w:p>
        </w:tc>
        <w:tc>
          <w:tcPr>
            <w:tcW w:w="3495" w:type="dxa"/>
          </w:tcPr>
          <w:p w14:paraId="2EE867A4" w14:textId="77777777" w:rsidR="006C6240" w:rsidRDefault="00000000">
            <w:pPr>
              <w:spacing w:after="120"/>
              <w:jc w:val="center"/>
            </w:pPr>
            <w:r>
              <w:t>Penggunaan eufemisme seperti “rudapaksa”, penggunaan metafora yang merendahkan martabat, dominasi diksi “orang cacat” dibandingkan “difabel”, serta pembingkaian kasus kriminal yang bias.</w:t>
            </w:r>
          </w:p>
        </w:tc>
        <w:tc>
          <w:tcPr>
            <w:tcW w:w="2715" w:type="dxa"/>
          </w:tcPr>
          <w:p w14:paraId="24DCCF47" w14:textId="77777777" w:rsidR="006C6240" w:rsidRDefault="00000000">
            <w:pPr>
              <w:spacing w:after="120"/>
              <w:jc w:val="center"/>
            </w:pPr>
            <w:r>
              <w:rPr>
                <w:highlight w:val="white"/>
              </w:rPr>
              <w:t>Fatim et al. (2024); Kumalasari et al. (2021); Nurhaqiqi (2018); Raodatuljanah et al. (2024)</w:t>
            </w:r>
          </w:p>
        </w:tc>
      </w:tr>
      <w:tr w:rsidR="006C6240" w14:paraId="6FBD017A" w14:textId="77777777">
        <w:trPr>
          <w:jc w:val="center"/>
        </w:trPr>
        <w:tc>
          <w:tcPr>
            <w:tcW w:w="2925" w:type="dxa"/>
            <w:tcBorders>
              <w:top w:val="nil"/>
              <w:left w:val="nil"/>
              <w:bottom w:val="single" w:sz="4" w:space="0" w:color="000000"/>
              <w:right w:val="nil"/>
            </w:tcBorders>
          </w:tcPr>
          <w:p w14:paraId="54480139" w14:textId="77777777" w:rsidR="006C6240" w:rsidRDefault="00000000">
            <w:pPr>
              <w:spacing w:after="120"/>
              <w:jc w:val="left"/>
            </w:pPr>
            <w:r>
              <w:t xml:space="preserve">Inklusivitas &amp; Regulasi </w:t>
            </w:r>
          </w:p>
        </w:tc>
        <w:tc>
          <w:tcPr>
            <w:tcW w:w="3495" w:type="dxa"/>
            <w:tcBorders>
              <w:top w:val="nil"/>
              <w:left w:val="nil"/>
              <w:bottom w:val="single" w:sz="4" w:space="0" w:color="000000"/>
              <w:right w:val="nil"/>
            </w:tcBorders>
          </w:tcPr>
          <w:p w14:paraId="6963D4F3" w14:textId="77777777" w:rsidR="006C6240" w:rsidRDefault="00000000">
            <w:pPr>
              <w:spacing w:after="120"/>
              <w:jc w:val="center"/>
            </w:pPr>
            <w:r>
              <w:t>Kepatuhan Pedoman Pemberitaan Ramah Disabilitas (PPRD), penempatan penyandang disabilitas sebagai subjek yang berdaya, penguatan aktivisme representasi mandiri di media sosial, serta implementasi Undang-Undang Nomor 8 Tahun 2016.</w:t>
            </w:r>
          </w:p>
        </w:tc>
        <w:tc>
          <w:tcPr>
            <w:tcW w:w="2715" w:type="dxa"/>
            <w:tcBorders>
              <w:top w:val="nil"/>
              <w:left w:val="nil"/>
              <w:bottom w:val="single" w:sz="4" w:space="0" w:color="000000"/>
              <w:right w:val="nil"/>
            </w:tcBorders>
          </w:tcPr>
          <w:p w14:paraId="35ED6809" w14:textId="77777777" w:rsidR="006C6240" w:rsidRDefault="00000000">
            <w:pPr>
              <w:spacing w:after="120"/>
              <w:jc w:val="center"/>
            </w:pPr>
            <w:r>
              <w:rPr>
                <w:highlight w:val="white"/>
              </w:rPr>
              <w:t>Bitman (2021); Kolotouchkina et al. (2021); Raisa (2023); Setiana et al. (2025)</w:t>
            </w:r>
          </w:p>
        </w:tc>
      </w:tr>
    </w:tbl>
    <w:p w14:paraId="40EE87DA" w14:textId="77777777" w:rsidR="006C6240" w:rsidRDefault="00000000">
      <w:pPr>
        <w:jc w:val="center"/>
        <w:rPr>
          <w:sz w:val="24"/>
          <w:szCs w:val="24"/>
        </w:rPr>
      </w:pPr>
      <w:r>
        <w:t>Sumber: Olahan Peneliti, April 2026</w:t>
      </w:r>
    </w:p>
    <w:p w14:paraId="19DE8AA4" w14:textId="77777777" w:rsidR="006C6240" w:rsidRDefault="006C6240">
      <w:pPr>
        <w:jc w:val="left"/>
        <w:rPr>
          <w:sz w:val="24"/>
          <w:szCs w:val="24"/>
        </w:rPr>
      </w:pPr>
    </w:p>
    <w:p w14:paraId="09798442" w14:textId="77777777" w:rsidR="006C6240" w:rsidRDefault="00000000">
      <w:pPr>
        <w:numPr>
          <w:ilvl w:val="0"/>
          <w:numId w:val="1"/>
        </w:numPr>
        <w:rPr>
          <w:b/>
          <w:bCs/>
          <w:sz w:val="24"/>
          <w:szCs w:val="24"/>
        </w:rPr>
      </w:pPr>
      <w:r>
        <w:rPr>
          <w:b/>
          <w:bCs/>
          <w:sz w:val="24"/>
          <w:szCs w:val="24"/>
        </w:rPr>
        <w:t xml:space="preserve">Komodifikasi Penderitaan, </w:t>
      </w:r>
      <w:r>
        <w:rPr>
          <w:b/>
          <w:bCs/>
          <w:i/>
          <w:iCs/>
          <w:sz w:val="24"/>
          <w:szCs w:val="24"/>
        </w:rPr>
        <w:t>Clickbait</w:t>
      </w:r>
      <w:r>
        <w:rPr>
          <w:b/>
          <w:bCs/>
          <w:sz w:val="24"/>
          <w:szCs w:val="24"/>
        </w:rPr>
        <w:t>, dan Fenomena Hiperealitas</w:t>
      </w:r>
    </w:p>
    <w:p w14:paraId="15D380D1" w14:textId="77777777" w:rsidR="006C6240" w:rsidRDefault="00000000">
      <w:pPr>
        <w:ind w:left="720" w:firstLine="720"/>
        <w:rPr>
          <w:sz w:val="24"/>
          <w:szCs w:val="24"/>
        </w:rPr>
      </w:pPr>
      <w:r>
        <w:rPr>
          <w:sz w:val="24"/>
          <w:szCs w:val="24"/>
        </w:rPr>
        <w:t xml:space="preserve">Pola narasi pertama memperlihatkan kuatnya dominasi motif ekonomi yang mentransformasikan penderitaan penyandang disabilitas menjadi sebuah komoditas yang bisa diperdagangkan. Media daring di Indonesia secara terstruktur mengadopsi mekanisme </w:t>
      </w:r>
      <w:r>
        <w:rPr>
          <w:i/>
          <w:iCs/>
          <w:sz w:val="24"/>
          <w:szCs w:val="24"/>
        </w:rPr>
        <w:t xml:space="preserve">clickbait </w:t>
      </w:r>
      <w:r>
        <w:rPr>
          <w:sz w:val="24"/>
          <w:szCs w:val="24"/>
        </w:rPr>
        <w:t xml:space="preserve">sebagai strategi bisnis untuk menarik trafik pengunjung sekaligus meningkatkan nilai tawar perusahaan media (Solihin et al., 2022). Fenomena ini selaras dengan praktik eksploitasi terhadap tindakan brutal pelaku dan penderitaan korban melalui pemilihan diksi yang dramatis serta sadistik, seperti frasa “tidak manusiawi” atau “sampai terkapar”, demi mengejar profitabilitas finansial (Firdaus, 2022). Situasi tersebut diperburuk oleh tren pemberitaan yang mengaitkan disabilitas mental dengan narasi kriminalitas yang bersifat sensasional, di mana kelompok tersebut kerap diposisikan sebagai aktor atau pelaku kejahatan yang tidak bisa diprediksi perilakunya (Al Fajri &amp; Isti’anah, 2025). </w:t>
      </w:r>
      <w:r>
        <w:rPr>
          <w:sz w:val="24"/>
          <w:szCs w:val="24"/>
        </w:rPr>
        <w:br/>
      </w:r>
      <w:r>
        <w:rPr>
          <w:sz w:val="24"/>
          <w:szCs w:val="24"/>
        </w:rPr>
        <w:tab/>
        <w:t>Dalam sudut pandang sosiologis, pola pemberitaan seperti ini menciptakan fenomena hiperealitas, di mana simulasi penderitaan yang dikonstruksi oleh media lebih mudah dipercaya oleh publik dibandingkan dengan realitas kemanusiaan penyandang disabilitas yang sebenarnya (Firdaus, 2022). Kondisi tersebut memicu munculnya narasi disability without the disabled secara abstrak atau sekedar melalui label institusional, seperti penyebutan “Menteri Disabilitas”, namun mengabaikan partisipasi aktif serta aspirasi langsung dari penyandang disabilitas itu sendiri (Melchior, 2024).</w:t>
      </w:r>
    </w:p>
    <w:p w14:paraId="6E01852D" w14:textId="77777777" w:rsidR="006C6240" w:rsidRDefault="00000000">
      <w:pPr>
        <w:numPr>
          <w:ilvl w:val="0"/>
          <w:numId w:val="1"/>
        </w:numPr>
        <w:rPr>
          <w:b/>
          <w:bCs/>
          <w:sz w:val="24"/>
          <w:szCs w:val="24"/>
        </w:rPr>
      </w:pPr>
      <w:r>
        <w:rPr>
          <w:b/>
          <w:bCs/>
          <w:sz w:val="24"/>
          <w:szCs w:val="24"/>
        </w:rPr>
        <w:t>Kekerasan Simbolik: Dari Eufemisme hingga Stigma Medis</w:t>
      </w:r>
    </w:p>
    <w:p w14:paraId="4B5EF27A" w14:textId="77777777" w:rsidR="006C6240" w:rsidRDefault="00000000">
      <w:pPr>
        <w:ind w:left="720" w:firstLine="720"/>
        <w:rPr>
          <w:sz w:val="24"/>
          <w:szCs w:val="24"/>
        </w:rPr>
      </w:pPr>
      <w:r>
        <w:rPr>
          <w:sz w:val="24"/>
          <w:szCs w:val="24"/>
        </w:rPr>
        <w:t xml:space="preserve">Pola kedua memiliki kaitan dengan bekerjanya mekanisme kekerasan simbolik melalui manipulasi bahasa yang memperkuat dan memperkokoh stigma negatif. Media kerap terjebak dalam penggunaan metafora berbasis gender serta diksi peyoratif yang secara kognitif merendahkan martabat penyandang disabilitas (Fatim et al., 2024). Salah satu bentuk nyata adalah penggunaan eufemisme, seperti istilah “rudapaksa” sebagai pengganti kata pemerkosaan, yang dipandang memperhalus tindak kriminalitas sekaligus mengaburkan esensi keadilan yang seharusnya diperoleh korban (Kumalasari et al., 2021). Pembingkaian narasi semacam ini seringkali hanya menempatkan permasalahan sebagai insiden kriminal yang bersifat individual, sehingga mengabaikan faktor kegagalan struktural yang menjadi akar dari diskriminasi yang terjadi (Raodatuljanah et al., 2024). </w:t>
      </w:r>
    </w:p>
    <w:p w14:paraId="14891827" w14:textId="77777777" w:rsidR="006C6240" w:rsidRDefault="00000000">
      <w:pPr>
        <w:ind w:left="720" w:firstLine="720"/>
        <w:rPr>
          <w:sz w:val="24"/>
          <w:szCs w:val="24"/>
        </w:rPr>
      </w:pPr>
      <w:r>
        <w:rPr>
          <w:sz w:val="24"/>
          <w:szCs w:val="24"/>
        </w:rPr>
        <w:t>Dominasi pola tersebut menegaskan kuatnya Model Patologi Sosial atau Model Medis, di mana individu disabilitas secara konsisten dikategorikan sebagai “penderita” atau “pasien” yang pasif serta bergantung sepenuhnya pada belas kasihan (Al Fajri &amp; Isti’anah, 2025). Selain itu, kemunculan narasi “</w:t>
      </w:r>
      <w:r>
        <w:rPr>
          <w:i/>
          <w:iCs/>
          <w:sz w:val="24"/>
          <w:szCs w:val="24"/>
        </w:rPr>
        <w:t>superscrip</w:t>
      </w:r>
      <w:r>
        <w:rPr>
          <w:sz w:val="24"/>
          <w:szCs w:val="24"/>
        </w:rPr>
        <w:t>”, yang mengagungkan penyandang disabilitas pada saat mereka meraih capaian atau prestasi yang luar biasa melampaui ekspektasi umum, turut membentuk adanya stereotip yang memberikan beban harapan atau ekspektasi secara tidak proporsional (Nurhaqiqi, 2018). Lebih lanjut, penggunaan istilah stigmatik seperti “orang cacat” pun terbukti masih jauh lebih mendominasi dibandingkan dengan istilah yang lebih humanis dan berperspektif hak asasi seperti “difabel” dalam pemberitaan media arus utama (Nurhaqiqi, 2018).</w:t>
      </w:r>
    </w:p>
    <w:p w14:paraId="6A703DDF" w14:textId="77777777" w:rsidR="006C6240" w:rsidRDefault="00000000">
      <w:pPr>
        <w:numPr>
          <w:ilvl w:val="0"/>
          <w:numId w:val="1"/>
        </w:numPr>
        <w:rPr>
          <w:b/>
          <w:bCs/>
          <w:sz w:val="24"/>
          <w:szCs w:val="24"/>
        </w:rPr>
      </w:pPr>
      <w:r>
        <w:rPr>
          <w:b/>
          <w:bCs/>
          <w:sz w:val="24"/>
          <w:szCs w:val="24"/>
        </w:rPr>
        <w:t>Menuju Jurnalisme Inklusif: Transformasi Paradigma Berbasis Hak</w:t>
      </w:r>
    </w:p>
    <w:p w14:paraId="6F028C92" w14:textId="77777777" w:rsidR="006C6240" w:rsidRDefault="00000000">
      <w:pPr>
        <w:ind w:left="720" w:firstLine="720"/>
        <w:rPr>
          <w:sz w:val="24"/>
          <w:szCs w:val="24"/>
        </w:rPr>
      </w:pPr>
      <w:r>
        <w:rPr>
          <w:sz w:val="24"/>
          <w:szCs w:val="24"/>
        </w:rPr>
        <w:t>Meskipun praktik eksploitasi masih mendominasi, terdapat pola positif yang memberi harapan melalui transisi bertahap menuju Model Hak Asasi Manusia. Keberadaan media prionir seperti Tempo.co membuktikan bahwa jurnalisme inklusif dapat diwujudkan dengan tingkat kepatuhan mencapai 99% terhadap Pedoman Pemberitaan Ramah Disabilitas (PPRD) (Raisa, 2023). Transformasi ini menuntut institusi media untuk mengimplementasikan Teori Tanggung Jawab Sosial secara nyata dan konsisten, yaitu dengan menyeimbangkan kepentingan ekonomi dan fungsi edukasi publik demi menjamin perlindungan kelompok minoritas (Setiana et al., 2025).</w:t>
      </w:r>
    </w:p>
    <w:p w14:paraId="4FD7A0D8" w14:textId="77777777" w:rsidR="006C6240" w:rsidRDefault="00000000">
      <w:pPr>
        <w:ind w:left="720" w:firstLine="720"/>
        <w:rPr>
          <w:sz w:val="24"/>
          <w:szCs w:val="24"/>
        </w:rPr>
      </w:pPr>
      <w:r>
        <w:rPr>
          <w:sz w:val="24"/>
          <w:szCs w:val="24"/>
        </w:rPr>
        <w:t xml:space="preserve">Urgensi penerapan jurnalisme inklusif ini diperkuat dengan landasan hukum yang kokoh melalui UU Nomor 8 Tahun 2016, yang secara tegas menjamin hak bagi penyandang disabilitas untuk terbebas dari stigma serta pelabelan negatif (Setiana et al., 2025). Sebagai respon terhadap dominasi narasi media arus utama, kini muncul gerakan representasi mandiri melalui aktivisme di platform media sosial, di mana penyandang disabilitas bisa secara aktif menciptakan narasi alternatif guna menantang wacana yang selama ini memosisikan mereka semata sebagai objek belas kasihan (Bitman, 2021). Dalam konteks global, keterlibatan bersifat objektif, seperti dalam peliputan Paralimpiade, menjadi momentum yang penting dalam upaya menghapus stigma serta menormalisasi persepsi publik terhadap keberagaman fisik manusia (Kolotouchkina et al., 2021). Dengan demikian, sinergi antara kepatuhan terhadap regulasi, peningkatan literasi difabel, serta partisipasi aktif penyandang disabilitas dalam proses produksi konten menjadi prasyarat yang tidak bisa ditawar bagi terwujudnya ekosistem media yang adil dan bermartabat. </w:t>
      </w:r>
    </w:p>
    <w:p w14:paraId="1E425636" w14:textId="77777777" w:rsidR="006C6240" w:rsidRDefault="006C6240">
      <w:pPr>
        <w:ind w:left="720" w:firstLine="720"/>
        <w:rPr>
          <w:sz w:val="24"/>
          <w:szCs w:val="24"/>
        </w:rPr>
      </w:pPr>
    </w:p>
    <w:p w14:paraId="71F223FD" w14:textId="77777777" w:rsidR="006C6240" w:rsidRDefault="00000000">
      <w:pPr>
        <w:spacing w:before="240" w:after="60" w:line="228" w:lineRule="auto"/>
        <w:jc w:val="left"/>
        <w:rPr>
          <w:sz w:val="24"/>
          <w:szCs w:val="24"/>
        </w:rPr>
      </w:pPr>
      <w:r>
        <w:rPr>
          <w:b/>
          <w:bCs/>
          <w:sz w:val="24"/>
          <w:szCs w:val="24"/>
        </w:rPr>
        <w:t>K</w:t>
      </w:r>
      <w:commentRangeStart w:id="3"/>
      <w:r>
        <w:rPr>
          <w:b/>
          <w:bCs/>
          <w:sz w:val="24"/>
          <w:szCs w:val="24"/>
        </w:rPr>
        <w:t>esimpulan</w:t>
      </w:r>
      <w:commentRangeEnd w:id="3"/>
      <w:r w:rsidR="00F402F6">
        <w:rPr>
          <w:rStyle w:val="CommentReference"/>
          <w:sz w:val="24"/>
          <w:szCs w:val="24"/>
        </w:rPr>
        <w:commentReference w:id="3"/>
      </w:r>
    </w:p>
    <w:p w14:paraId="715BA0F6" w14:textId="77777777" w:rsidR="006C6240" w:rsidRDefault="00000000">
      <w:pPr>
        <w:spacing w:after="60" w:line="228" w:lineRule="auto"/>
        <w:ind w:firstLine="720"/>
        <w:rPr>
          <w:sz w:val="24"/>
          <w:szCs w:val="24"/>
        </w:rPr>
      </w:pPr>
      <w:r>
        <w:rPr>
          <w:sz w:val="24"/>
          <w:szCs w:val="24"/>
        </w:rPr>
        <w:t xml:space="preserve">Hasil sintesis terhadap 12 literatur menunjukkan bahwa narasi disabilitas dalam media daring di Indonesia masih mengalami polarisasi yang tajam antara kepentingan komodifikasi ekonomi dan komitmen terhadap praktik jurnalisme inklusif. Dominasi Model Patologi Sosial masih sangat kuat, di mana penyandang disabilitas secara sistematis dikontruksi sebagai “penderita” atau “pasien” yang bersifat pasif dan sepenuhnya bergantung pada belas kasihan masyarakat. Praktik tersebut semakin diperburuk oleh motif profitabilitas yang diwujudkan melalui strategi clickbait, yaitu dengan mengeksploitasi aspek penderitaan dan aksi kekerasan dengan diksi yang bersifat sadistik demi meningkatkan arus pengunjung media. Di samping itu, bekerjanya kekerasan simbolik melalui penggunaan eufemisme seperti istilah “rudapaksa”, terbukti memperhalus tindak kriminal sekaligus mengaburkan esensi keadilan yang seharusnya diperoleh korban. </w:t>
      </w:r>
    </w:p>
    <w:p w14:paraId="633AE78A" w14:textId="77777777" w:rsidR="006C6240" w:rsidRDefault="00000000">
      <w:pPr>
        <w:spacing w:after="60" w:line="228" w:lineRule="auto"/>
        <w:ind w:firstLine="720"/>
        <w:rPr>
          <w:sz w:val="24"/>
          <w:szCs w:val="24"/>
        </w:rPr>
      </w:pPr>
      <w:r>
        <w:rPr>
          <w:sz w:val="24"/>
          <w:szCs w:val="24"/>
        </w:rPr>
        <w:t xml:space="preserve">Secara sosiologis, ekosistem media digital di Indonesia masih terjebak dalam fenomena </w:t>
      </w:r>
      <w:r>
        <w:rPr>
          <w:i/>
          <w:iCs/>
          <w:sz w:val="24"/>
          <w:szCs w:val="24"/>
        </w:rPr>
        <w:t>disability without the disabled</w:t>
      </w:r>
      <w:r>
        <w:rPr>
          <w:sz w:val="24"/>
          <w:szCs w:val="24"/>
        </w:rPr>
        <w:t xml:space="preserve">, yaitu produksi narasi bersifat abstrak yang tidak melibatkan partisipasi aktif maupun pengalaman dari penyandang disabilitas secara langsung. Meskipun terdapat indikasi positif dari media pionir yang menunjukkan tingkat kepatuhan hingga 99% terhadap regulasi yang berlaku, secara kolektif masih terdapat kesenjangan yang lebar antara mandat Undang-Undang Nomor 8 Tahun 2016 dengan realitas praktik jurnalisme di lapangan. Oleh karena itu, konsistensi dalam implementasi Pedoman Pemberitaan Ramah Disabilitas (PPRD) merupakan prasyarat yang mutlak bagi lembaga pers untuk mengaktualisasikan fungsi edukasi publik dan tanggung jawab sosial demi terwujudnya ruang publik yang adil dan bermartabat. </w:t>
      </w:r>
    </w:p>
    <w:p w14:paraId="65D181CE" w14:textId="77777777" w:rsidR="006C6240" w:rsidRDefault="00000000">
      <w:pPr>
        <w:spacing w:after="60" w:line="228" w:lineRule="auto"/>
        <w:ind w:firstLine="720"/>
        <w:rPr>
          <w:b/>
          <w:bCs/>
          <w:sz w:val="24"/>
          <w:szCs w:val="24"/>
        </w:rPr>
      </w:pPr>
      <w:r>
        <w:rPr>
          <w:sz w:val="24"/>
          <w:szCs w:val="24"/>
        </w:rPr>
        <w:t xml:space="preserve">Sebagai rekomendasi strategis, Dewan Pers perlu memperkuat dan mengoptimalkan fungsi pengawasan serta mulai memberlakukan sanksi yang tegas terhadap praktik pemberitaan bersifat stigmatik serta eksploitatif. Selain itu, institusi pendidikan jurnalisme disarankan untuk melakukan perubahan kurikulum dengan mengintegrasikan materi mengenai etika peliputan kelompok rentan, serta melibatkan penyandang disabilitas secara langsung sebagai subjek aktif dalam proses pembelajaran guna membangun kesadaran inklusi sejak dini. </w:t>
      </w:r>
    </w:p>
    <w:p w14:paraId="316DB286" w14:textId="77777777" w:rsidR="006C6240" w:rsidRDefault="00000000">
      <w:pPr>
        <w:spacing w:before="240" w:after="60" w:line="228" w:lineRule="auto"/>
        <w:jc w:val="left"/>
        <w:rPr>
          <w:b/>
          <w:bCs/>
          <w:sz w:val="24"/>
          <w:szCs w:val="24"/>
        </w:rPr>
      </w:pPr>
      <w:r>
        <w:rPr>
          <w:b/>
          <w:bCs/>
          <w:sz w:val="24"/>
          <w:szCs w:val="24"/>
        </w:rPr>
        <w:t xml:space="preserve">Daftar Pustaka </w:t>
      </w:r>
    </w:p>
    <w:p w14:paraId="58668DBA" w14:textId="77777777" w:rsidR="006C6240" w:rsidRDefault="00000000">
      <w:pPr>
        <w:spacing w:before="240" w:after="60" w:line="228" w:lineRule="auto"/>
        <w:rPr>
          <w:sz w:val="24"/>
          <w:szCs w:val="24"/>
          <w:highlight w:val="white"/>
        </w:rPr>
      </w:pPr>
      <w:r>
        <w:rPr>
          <w:sz w:val="24"/>
          <w:szCs w:val="24"/>
          <w:highlight w:val="white"/>
        </w:rPr>
        <w:t xml:space="preserve">Al Fajri, M. S., &amp; Isti’anah, A. (2025). News media depictions of people with mental disabilities in Indonesia: A corpus-assisted discourse study. </w:t>
      </w:r>
      <w:r>
        <w:rPr>
          <w:i/>
          <w:iCs/>
          <w:sz w:val="24"/>
          <w:szCs w:val="24"/>
          <w:highlight w:val="white"/>
        </w:rPr>
        <w:t>Russian Journal of Linguistics</w:t>
      </w:r>
      <w:r>
        <w:rPr>
          <w:sz w:val="24"/>
          <w:szCs w:val="24"/>
          <w:highlight w:val="white"/>
        </w:rPr>
        <w:t xml:space="preserve">, </w:t>
      </w:r>
      <w:r>
        <w:rPr>
          <w:i/>
          <w:iCs/>
          <w:sz w:val="24"/>
          <w:szCs w:val="24"/>
          <w:highlight w:val="white"/>
        </w:rPr>
        <w:t>29</w:t>
      </w:r>
      <w:r>
        <w:rPr>
          <w:sz w:val="24"/>
          <w:szCs w:val="24"/>
          <w:highlight w:val="white"/>
        </w:rPr>
        <w:t>(3), 492–512. https://doi.org/10.22363/2687-0088-44223</w:t>
      </w:r>
    </w:p>
    <w:p w14:paraId="71580A9C" w14:textId="77777777" w:rsidR="006C6240" w:rsidRDefault="00000000">
      <w:pPr>
        <w:spacing w:before="240" w:after="60" w:line="228" w:lineRule="auto"/>
        <w:rPr>
          <w:sz w:val="24"/>
          <w:szCs w:val="24"/>
          <w:highlight w:val="white"/>
        </w:rPr>
      </w:pPr>
      <w:r>
        <w:rPr>
          <w:sz w:val="24"/>
          <w:szCs w:val="24"/>
          <w:highlight w:val="white"/>
        </w:rPr>
        <w:t xml:space="preserve">Bitman, N. (2021). </w:t>
      </w:r>
      <w:r>
        <w:rPr>
          <w:i/>
          <w:iCs/>
          <w:sz w:val="24"/>
          <w:szCs w:val="24"/>
          <w:highlight w:val="white"/>
        </w:rPr>
        <w:t>Rethinking visibility, personalization and representation: Disability activism in social media</w:t>
      </w:r>
      <w:r>
        <w:rPr>
          <w:sz w:val="24"/>
          <w:szCs w:val="24"/>
          <w:highlight w:val="white"/>
        </w:rPr>
        <w:t>. Paper presented at AoIR 2021: The 22nd Annual Conference of the Association of Internet Researchers. Virtual Event: AoIR.</w:t>
      </w:r>
    </w:p>
    <w:p w14:paraId="599BEE0B" w14:textId="77777777" w:rsidR="006C6240" w:rsidRDefault="00000000">
      <w:pPr>
        <w:spacing w:before="240" w:after="60" w:line="228" w:lineRule="auto"/>
        <w:rPr>
          <w:sz w:val="24"/>
          <w:szCs w:val="24"/>
          <w:highlight w:val="white"/>
        </w:rPr>
      </w:pPr>
      <w:r>
        <w:rPr>
          <w:sz w:val="24"/>
          <w:szCs w:val="24"/>
          <w:highlight w:val="white"/>
        </w:rPr>
        <w:t xml:space="preserve">Fatim, A. L. N., Hamid, M. A., &amp; Mubasyiroh. (2024). A corpus-based cognitive analysis of metaphors of gender issues in national media. </w:t>
      </w:r>
      <w:r>
        <w:rPr>
          <w:i/>
          <w:iCs/>
          <w:sz w:val="24"/>
          <w:szCs w:val="24"/>
          <w:highlight w:val="white"/>
        </w:rPr>
        <w:t>Notion: Journal of Linguistics, Literature, and Culture</w:t>
      </w:r>
      <w:r>
        <w:rPr>
          <w:sz w:val="24"/>
          <w:szCs w:val="24"/>
          <w:highlight w:val="white"/>
        </w:rPr>
        <w:t xml:space="preserve">, </w:t>
      </w:r>
      <w:r>
        <w:rPr>
          <w:i/>
          <w:iCs/>
          <w:sz w:val="24"/>
          <w:szCs w:val="24"/>
          <w:highlight w:val="white"/>
        </w:rPr>
        <w:t>6</w:t>
      </w:r>
      <w:r>
        <w:rPr>
          <w:sz w:val="24"/>
          <w:szCs w:val="24"/>
          <w:highlight w:val="white"/>
        </w:rPr>
        <w:t>(2), 152-170. https://doi.org/10.12928/notion.v6i2.10489</w:t>
      </w:r>
    </w:p>
    <w:p w14:paraId="4E080113" w14:textId="77777777" w:rsidR="006C6240" w:rsidRDefault="00000000">
      <w:pPr>
        <w:spacing w:before="240" w:after="60" w:line="228" w:lineRule="auto"/>
        <w:rPr>
          <w:sz w:val="24"/>
          <w:szCs w:val="24"/>
          <w:highlight w:val="white"/>
        </w:rPr>
      </w:pPr>
      <w:r>
        <w:rPr>
          <w:sz w:val="24"/>
          <w:szCs w:val="24"/>
          <w:highlight w:val="white"/>
        </w:rPr>
        <w:t xml:space="preserve">Firdaus, N. A. (2022). Analisis framing pemberitaan media massa online detiknews.com dan medan.tribunnews.com (Studi berita penganiayaan penyandang disabilitas di Sumedang). </w:t>
      </w:r>
      <w:r>
        <w:rPr>
          <w:i/>
          <w:iCs/>
          <w:sz w:val="24"/>
          <w:szCs w:val="24"/>
          <w:highlight w:val="white"/>
        </w:rPr>
        <w:t>Prosiding Seminar Nasional Ilmu Ilmu Sosial (SNIIS) 2022</w:t>
      </w:r>
      <w:r>
        <w:rPr>
          <w:sz w:val="24"/>
          <w:szCs w:val="24"/>
          <w:highlight w:val="white"/>
        </w:rPr>
        <w:t>, 1024-1033.</w:t>
      </w:r>
    </w:p>
    <w:p w14:paraId="241E1104" w14:textId="77777777" w:rsidR="006C6240" w:rsidRDefault="00000000">
      <w:pPr>
        <w:spacing w:before="240" w:after="60" w:line="228" w:lineRule="auto"/>
        <w:rPr>
          <w:sz w:val="24"/>
          <w:szCs w:val="24"/>
          <w:highlight w:val="white"/>
        </w:rPr>
      </w:pPr>
      <w:r>
        <w:rPr>
          <w:sz w:val="24"/>
          <w:szCs w:val="24"/>
          <w:highlight w:val="white"/>
        </w:rPr>
        <w:t xml:space="preserve">Hamidah, R. (2023). </w:t>
      </w:r>
      <w:r>
        <w:rPr>
          <w:i/>
          <w:iCs/>
          <w:sz w:val="24"/>
          <w:szCs w:val="24"/>
          <w:highlight w:val="white"/>
        </w:rPr>
        <w:t>Pemenuhan bingkai pemberitaan ramah disabilitas pada difabel.tempo.co</w:t>
      </w:r>
      <w:r>
        <w:rPr>
          <w:sz w:val="24"/>
          <w:szCs w:val="24"/>
          <w:highlight w:val="white"/>
        </w:rPr>
        <w:t xml:space="preserve"> [Skripsi, UIN Syarif Hidayatullah Jakarta].</w:t>
      </w:r>
    </w:p>
    <w:p w14:paraId="307F9B7F" w14:textId="77777777" w:rsidR="006C6240" w:rsidRDefault="00000000">
      <w:pPr>
        <w:spacing w:before="240" w:after="60" w:line="228" w:lineRule="auto"/>
        <w:rPr>
          <w:sz w:val="24"/>
          <w:szCs w:val="24"/>
          <w:highlight w:val="white"/>
        </w:rPr>
      </w:pPr>
      <w:r>
        <w:rPr>
          <w:sz w:val="24"/>
          <w:szCs w:val="24"/>
          <w:highlight w:val="white"/>
        </w:rPr>
        <w:t xml:space="preserve">Kolotouchkina, O., Llorente-Barroso, C., García-Guardia, M. L., &amp; Pavón, J. (2021). Disability, sport, and television: Media visibility and representation of Paralympic Games in news programs. </w:t>
      </w:r>
      <w:r>
        <w:rPr>
          <w:i/>
          <w:iCs/>
          <w:sz w:val="24"/>
          <w:szCs w:val="24"/>
          <w:highlight w:val="white"/>
        </w:rPr>
        <w:t>Sustainability</w:t>
      </w:r>
      <w:r>
        <w:rPr>
          <w:sz w:val="24"/>
          <w:szCs w:val="24"/>
          <w:highlight w:val="white"/>
        </w:rPr>
        <w:t xml:space="preserve">, </w:t>
      </w:r>
      <w:r>
        <w:rPr>
          <w:i/>
          <w:iCs/>
          <w:sz w:val="24"/>
          <w:szCs w:val="24"/>
          <w:highlight w:val="white"/>
        </w:rPr>
        <w:t>13</w:t>
      </w:r>
      <w:r>
        <w:rPr>
          <w:sz w:val="24"/>
          <w:szCs w:val="24"/>
          <w:highlight w:val="white"/>
        </w:rPr>
        <w:t>(1), 256. https://doi.org/10.3390/su13010256</w:t>
      </w:r>
    </w:p>
    <w:p w14:paraId="2A7D3732" w14:textId="77777777" w:rsidR="006C6240" w:rsidRDefault="00000000">
      <w:pPr>
        <w:spacing w:before="240" w:after="60" w:line="228" w:lineRule="auto"/>
        <w:rPr>
          <w:sz w:val="24"/>
          <w:szCs w:val="24"/>
          <w:highlight w:val="white"/>
        </w:rPr>
      </w:pPr>
      <w:r>
        <w:rPr>
          <w:sz w:val="24"/>
          <w:szCs w:val="24"/>
          <w:highlight w:val="white"/>
        </w:rPr>
        <w:t xml:space="preserve">Kumalasari, E. D., Ardani, S. A., Nurrohmah, E., Sarwandari, A. P., Azzahra, A. A., &amp; Pribadi, F. (2021). </w:t>
      </w:r>
      <w:r>
        <w:rPr>
          <w:i/>
          <w:iCs/>
          <w:sz w:val="24"/>
          <w:szCs w:val="24"/>
          <w:highlight w:val="white"/>
        </w:rPr>
        <w:t>Empati VS Ekspolitasi: Melacak media online ramah disabilitas</w:t>
      </w:r>
      <w:r>
        <w:rPr>
          <w:sz w:val="24"/>
          <w:szCs w:val="24"/>
          <w:highlight w:val="white"/>
        </w:rPr>
        <w:t>. Laporan Penelitian Sosiologi, Universitas Negeri Surabaya.</w:t>
      </w:r>
    </w:p>
    <w:p w14:paraId="20BB4DC3" w14:textId="77777777" w:rsidR="006C6240" w:rsidRDefault="00000000">
      <w:pPr>
        <w:spacing w:before="240" w:after="60" w:line="228" w:lineRule="auto"/>
        <w:rPr>
          <w:sz w:val="24"/>
          <w:szCs w:val="24"/>
          <w:highlight w:val="white"/>
        </w:rPr>
      </w:pPr>
      <w:r>
        <w:rPr>
          <w:sz w:val="24"/>
          <w:szCs w:val="24"/>
          <w:highlight w:val="white"/>
        </w:rPr>
        <w:t xml:space="preserve">Melchior, C. (2024). The representation of disability in Italian media: The case of Ansa. </w:t>
      </w:r>
      <w:r>
        <w:rPr>
          <w:i/>
          <w:iCs/>
          <w:sz w:val="24"/>
          <w:szCs w:val="24"/>
          <w:highlight w:val="white"/>
        </w:rPr>
        <w:t>pIJ (PuntOorg International Journal)</w:t>
      </w:r>
      <w:r>
        <w:rPr>
          <w:sz w:val="24"/>
          <w:szCs w:val="24"/>
          <w:highlight w:val="white"/>
        </w:rPr>
        <w:t xml:space="preserve">, </w:t>
      </w:r>
      <w:r>
        <w:rPr>
          <w:i/>
          <w:iCs/>
          <w:sz w:val="24"/>
          <w:szCs w:val="24"/>
          <w:highlight w:val="white"/>
        </w:rPr>
        <w:t>9</w:t>
      </w:r>
      <w:r>
        <w:rPr>
          <w:sz w:val="24"/>
          <w:szCs w:val="24"/>
          <w:highlight w:val="white"/>
        </w:rPr>
        <w:t>(2), 172-191.</w:t>
      </w:r>
    </w:p>
    <w:p w14:paraId="4CA2E816" w14:textId="77777777" w:rsidR="006C6240" w:rsidRDefault="00000000">
      <w:pPr>
        <w:spacing w:before="240" w:after="60" w:line="228" w:lineRule="auto"/>
        <w:rPr>
          <w:sz w:val="24"/>
          <w:szCs w:val="24"/>
          <w:highlight w:val="white"/>
        </w:rPr>
      </w:pPr>
      <w:r>
        <w:rPr>
          <w:sz w:val="24"/>
          <w:szCs w:val="24"/>
          <w:highlight w:val="white"/>
        </w:rPr>
        <w:t xml:space="preserve">Nurhaqiqi, H. (2018). </w:t>
      </w:r>
      <w:r>
        <w:rPr>
          <w:i/>
          <w:iCs/>
          <w:sz w:val="24"/>
          <w:szCs w:val="24"/>
          <w:highlight w:val="white"/>
        </w:rPr>
        <w:t>Difable literacy: Analysis of difable representation in Indonesian media</w:t>
      </w:r>
      <w:r>
        <w:rPr>
          <w:sz w:val="24"/>
          <w:szCs w:val="24"/>
          <w:highlight w:val="white"/>
        </w:rPr>
        <w:t>. Paper presented at the 3rd International Conference on Social and Political Sciences (ICSPS 2017), Jakarta.</w:t>
      </w:r>
    </w:p>
    <w:p w14:paraId="20AE8151" w14:textId="77777777" w:rsidR="006C6240" w:rsidRDefault="00000000">
      <w:pPr>
        <w:spacing w:before="240" w:after="60" w:line="228" w:lineRule="auto"/>
        <w:rPr>
          <w:sz w:val="24"/>
          <w:szCs w:val="24"/>
          <w:highlight w:val="white"/>
        </w:rPr>
      </w:pPr>
      <w:r>
        <w:rPr>
          <w:sz w:val="24"/>
          <w:szCs w:val="24"/>
          <w:highlight w:val="white"/>
        </w:rPr>
        <w:t xml:space="preserve">Raodatuljanah, Devina, K., Setiawansyah, P. S., &amp; Maulida, A. S. (2024). Representasi isu disabilitas di media daring. </w:t>
      </w:r>
      <w:r>
        <w:rPr>
          <w:i/>
          <w:iCs/>
          <w:sz w:val="24"/>
          <w:szCs w:val="24"/>
          <w:highlight w:val="white"/>
        </w:rPr>
        <w:t>Jurnal Pena Ilmiah</w:t>
      </w:r>
      <w:r>
        <w:rPr>
          <w:sz w:val="24"/>
          <w:szCs w:val="24"/>
          <w:highlight w:val="white"/>
        </w:rPr>
        <w:t xml:space="preserve">, </w:t>
      </w:r>
      <w:r>
        <w:rPr>
          <w:i/>
          <w:iCs/>
          <w:sz w:val="24"/>
          <w:szCs w:val="24"/>
          <w:highlight w:val="white"/>
        </w:rPr>
        <w:t>6</w:t>
      </w:r>
      <w:r>
        <w:rPr>
          <w:sz w:val="24"/>
          <w:szCs w:val="24"/>
          <w:highlight w:val="white"/>
        </w:rPr>
        <w:t>(2), 115-134. https://doi.org/10.17509/jpi.v6i2.72373</w:t>
      </w:r>
    </w:p>
    <w:p w14:paraId="61A3B46D" w14:textId="77777777" w:rsidR="006C6240" w:rsidRDefault="00000000">
      <w:pPr>
        <w:spacing w:before="240" w:after="60" w:line="228" w:lineRule="auto"/>
        <w:rPr>
          <w:sz w:val="24"/>
          <w:szCs w:val="24"/>
          <w:highlight w:val="white"/>
        </w:rPr>
      </w:pPr>
      <w:r>
        <w:rPr>
          <w:sz w:val="24"/>
          <w:szCs w:val="24"/>
          <w:highlight w:val="white"/>
        </w:rPr>
        <w:t xml:space="preserve">Setiana, W. A., Maifitri, H., ’Aisyi, T. R., Tiara, A. S., &amp; Shah, R. (2025). Regulations and ethics of reporting on persons with disabilities in the media: A comparative study of Indonesia and India. </w:t>
      </w:r>
      <w:r>
        <w:rPr>
          <w:i/>
          <w:iCs/>
          <w:sz w:val="24"/>
          <w:szCs w:val="24"/>
          <w:highlight w:val="white"/>
        </w:rPr>
        <w:t>Realism: Law Review</w:t>
      </w:r>
      <w:r>
        <w:rPr>
          <w:sz w:val="24"/>
          <w:szCs w:val="24"/>
          <w:highlight w:val="white"/>
        </w:rPr>
        <w:t xml:space="preserve">, </w:t>
      </w:r>
      <w:r>
        <w:rPr>
          <w:i/>
          <w:iCs/>
          <w:sz w:val="24"/>
          <w:szCs w:val="24"/>
          <w:highlight w:val="white"/>
        </w:rPr>
        <w:t>3</w:t>
      </w:r>
      <w:r>
        <w:rPr>
          <w:sz w:val="24"/>
          <w:szCs w:val="24"/>
          <w:highlight w:val="white"/>
        </w:rPr>
        <w:t>(1), 167-180.</w:t>
      </w:r>
    </w:p>
    <w:p w14:paraId="604D95AF" w14:textId="77777777" w:rsidR="006C6240" w:rsidRDefault="00000000">
      <w:pPr>
        <w:spacing w:before="240" w:after="60" w:line="228" w:lineRule="auto"/>
        <w:rPr>
          <w:sz w:val="24"/>
          <w:szCs w:val="24"/>
          <w:highlight w:val="white"/>
        </w:rPr>
      </w:pPr>
      <w:r>
        <w:rPr>
          <w:sz w:val="24"/>
          <w:szCs w:val="24"/>
          <w:highlight w:val="white"/>
        </w:rPr>
        <w:t xml:space="preserve">Solihin, O., Rahmawati, W., Haryati, F., Mogot, Y., Nurhadi, Z. F., &amp; Waluyo, E. A. (2022). Tinjauan tentang clickbait media. </w:t>
      </w:r>
      <w:r>
        <w:rPr>
          <w:i/>
          <w:iCs/>
          <w:sz w:val="24"/>
          <w:szCs w:val="24"/>
          <w:highlight w:val="white"/>
        </w:rPr>
        <w:t>Commed: Jurnal Komunikasi dan Media</w:t>
      </w:r>
      <w:r>
        <w:rPr>
          <w:sz w:val="24"/>
          <w:szCs w:val="24"/>
          <w:highlight w:val="white"/>
        </w:rPr>
        <w:t xml:space="preserve">, </w:t>
      </w:r>
      <w:r>
        <w:rPr>
          <w:i/>
          <w:iCs/>
          <w:sz w:val="24"/>
          <w:szCs w:val="24"/>
          <w:highlight w:val="white"/>
        </w:rPr>
        <w:t>7</w:t>
      </w:r>
      <w:r>
        <w:rPr>
          <w:sz w:val="24"/>
          <w:szCs w:val="24"/>
          <w:highlight w:val="white"/>
        </w:rPr>
        <w:t>(1), 74-84.</w:t>
      </w:r>
    </w:p>
    <w:p w14:paraId="1B743D7B" w14:textId="77777777" w:rsidR="006C6240" w:rsidRDefault="00000000">
      <w:pPr>
        <w:spacing w:before="240" w:after="60" w:line="228" w:lineRule="auto"/>
        <w:rPr>
          <w:sz w:val="24"/>
          <w:szCs w:val="24"/>
          <w:highlight w:val="white"/>
        </w:rPr>
      </w:pPr>
      <w:r>
        <w:rPr>
          <w:sz w:val="24"/>
          <w:szCs w:val="24"/>
          <w:highlight w:val="white"/>
        </w:rPr>
        <w:t xml:space="preserve">World Health Organization. (2023). </w:t>
      </w:r>
      <w:r>
        <w:rPr>
          <w:i/>
          <w:iCs/>
          <w:sz w:val="24"/>
          <w:szCs w:val="24"/>
          <w:highlight w:val="white"/>
        </w:rPr>
        <w:t>Disability</w:t>
      </w:r>
      <w:r>
        <w:rPr>
          <w:sz w:val="24"/>
          <w:szCs w:val="24"/>
          <w:highlight w:val="white"/>
        </w:rPr>
        <w:t>. https://www.who.int/news-room/fact-sheets/detail/disability-and-health</w:t>
      </w:r>
    </w:p>
    <w:p w14:paraId="55676888" w14:textId="77777777" w:rsidR="006C6240" w:rsidRDefault="006C6240">
      <w:pPr>
        <w:spacing w:before="240" w:after="60" w:line="228" w:lineRule="auto"/>
        <w:rPr>
          <w:sz w:val="24"/>
          <w:szCs w:val="24"/>
          <w:highlight w:val="white"/>
        </w:rPr>
      </w:pPr>
    </w:p>
    <w:sectPr w:rsidR="006C6240">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134" w:left="1134" w:header="1021" w:footer="34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2" w:date="2026-04-27T09:49:00Z" w:initials="RA">
    <w:p w14:paraId="5AF8D276" w14:textId="77777777" w:rsidR="00F402F6" w:rsidRDefault="00F402F6" w:rsidP="00F402F6">
      <w:pPr>
        <w:pStyle w:val="CommentText"/>
        <w:ind w:left="720"/>
        <w:jc w:val="left"/>
      </w:pPr>
      <w:r>
        <w:rPr>
          <w:rStyle w:val="CommentReference"/>
        </w:rPr>
        <w:annotationRef/>
      </w:r>
      <w:r>
        <w:t xml:space="preserve">Abstrak berisi </w:t>
      </w:r>
      <w:r>
        <w:rPr>
          <w:lang w:val="en-ID"/>
        </w:rPr>
        <w:t>ringkasan padat dan jelas dari seluruh isi penelitian yang mencakup, tujuan, metode, hasil, dan simpulan. 250 kata</w:t>
      </w:r>
    </w:p>
  </w:comment>
  <w:comment w:id="1" w:author="Reviewer 2" w:date="2026-04-27T09:49:00Z" w:initials="RA">
    <w:p w14:paraId="2949C7FD" w14:textId="77777777" w:rsidR="00F402F6" w:rsidRDefault="00F402F6" w:rsidP="00F402F6">
      <w:pPr>
        <w:pStyle w:val="CommentText"/>
        <w:jc w:val="left"/>
      </w:pPr>
      <w:r>
        <w:rPr>
          <w:rStyle w:val="CommentReference"/>
        </w:rPr>
        <w:annotationRef/>
      </w:r>
      <w:r>
        <w:t>Susun ulang menjadi 4 paragraf:</w:t>
      </w:r>
    </w:p>
    <w:p w14:paraId="0E89FFFE" w14:textId="77777777" w:rsidR="00F402F6" w:rsidRDefault="00F402F6" w:rsidP="00F402F6">
      <w:pPr>
        <w:pStyle w:val="CommentText"/>
        <w:numPr>
          <w:ilvl w:val="0"/>
          <w:numId w:val="2"/>
        </w:numPr>
        <w:ind w:left="720"/>
        <w:jc w:val="left"/>
      </w:pPr>
      <w:r>
        <w:rPr>
          <w:b/>
          <w:bCs/>
        </w:rPr>
        <w:t>Konteks global + data</w:t>
      </w:r>
      <w:r>
        <w:t xml:space="preserve"> </w:t>
      </w:r>
    </w:p>
    <w:p w14:paraId="5F2E66E6" w14:textId="77777777" w:rsidR="00F402F6" w:rsidRDefault="00F402F6" w:rsidP="00F402F6">
      <w:pPr>
        <w:pStyle w:val="CommentText"/>
        <w:numPr>
          <w:ilvl w:val="0"/>
          <w:numId w:val="2"/>
        </w:numPr>
        <w:ind w:left="720"/>
        <w:jc w:val="left"/>
      </w:pPr>
      <w:r>
        <w:rPr>
          <w:b/>
          <w:bCs/>
        </w:rPr>
        <w:t>Masalah di Indonesia</w:t>
      </w:r>
      <w:r>
        <w:t xml:space="preserve"> </w:t>
      </w:r>
    </w:p>
    <w:p w14:paraId="122E652B" w14:textId="77777777" w:rsidR="00F402F6" w:rsidRDefault="00F402F6" w:rsidP="00F402F6">
      <w:pPr>
        <w:pStyle w:val="CommentText"/>
        <w:numPr>
          <w:ilvl w:val="0"/>
          <w:numId w:val="2"/>
        </w:numPr>
        <w:ind w:left="720"/>
        <w:jc w:val="left"/>
      </w:pPr>
      <w:r>
        <w:rPr>
          <w:b/>
          <w:bCs/>
        </w:rPr>
        <w:t>Gap penelitian</w:t>
      </w:r>
      <w:r>
        <w:t xml:space="preserve"> </w:t>
      </w:r>
    </w:p>
    <w:p w14:paraId="0580EADD" w14:textId="77777777" w:rsidR="00F402F6" w:rsidRDefault="00F402F6" w:rsidP="00F402F6">
      <w:pPr>
        <w:pStyle w:val="CommentText"/>
        <w:numPr>
          <w:ilvl w:val="0"/>
          <w:numId w:val="2"/>
        </w:numPr>
        <w:ind w:left="720"/>
        <w:jc w:val="left"/>
      </w:pPr>
      <w:r>
        <w:rPr>
          <w:b/>
          <w:bCs/>
        </w:rPr>
        <w:t>Tujuan + novelty</w:t>
      </w:r>
      <w:r>
        <w:t xml:space="preserve"> </w:t>
      </w:r>
    </w:p>
  </w:comment>
  <w:comment w:id="2" w:author="Reviewer 2" w:date="2026-04-27T09:50:00Z" w:initials="RA">
    <w:p w14:paraId="707F0982" w14:textId="77777777" w:rsidR="00F402F6" w:rsidRDefault="00F402F6" w:rsidP="00F402F6">
      <w:pPr>
        <w:pStyle w:val="CommentText"/>
        <w:jc w:val="left"/>
      </w:pPr>
      <w:r>
        <w:rPr>
          <w:rStyle w:val="CommentReference"/>
        </w:rPr>
        <w:annotationRef/>
      </w:r>
      <w:r>
        <w:rPr>
          <w:b/>
          <w:bCs/>
        </w:rPr>
        <w:t>Perbaiki tabel:</w:t>
      </w:r>
    </w:p>
    <w:p w14:paraId="549CAF6B" w14:textId="77777777" w:rsidR="00F402F6" w:rsidRDefault="00F402F6" w:rsidP="00F402F6">
      <w:pPr>
        <w:pStyle w:val="CommentText"/>
        <w:numPr>
          <w:ilvl w:val="0"/>
          <w:numId w:val="3"/>
        </w:numPr>
        <w:jc w:val="left"/>
      </w:pPr>
      <w:r>
        <w:t xml:space="preserve">Gunakan format jurnal (tanpa garis vertikal) </w:t>
      </w:r>
    </w:p>
    <w:p w14:paraId="20AFAFA1" w14:textId="77777777" w:rsidR="00F402F6" w:rsidRDefault="00F402F6" w:rsidP="00F402F6">
      <w:pPr>
        <w:pStyle w:val="CommentText"/>
        <w:numPr>
          <w:ilvl w:val="0"/>
          <w:numId w:val="3"/>
        </w:numPr>
        <w:jc w:val="left"/>
      </w:pPr>
      <w:r>
        <w:t>Tambahkan sumber di bawah tabel</w:t>
      </w:r>
    </w:p>
  </w:comment>
  <w:comment w:id="3" w:author="Reviewer 2" w:date="2026-04-27T09:53:00Z" w:initials="RA">
    <w:p w14:paraId="38A54CE7" w14:textId="77777777" w:rsidR="00F402F6" w:rsidRDefault="00F402F6" w:rsidP="00F402F6">
      <w:pPr>
        <w:pStyle w:val="CommentText"/>
        <w:jc w:val="left"/>
      </w:pPr>
      <w:r>
        <w:rPr>
          <w:rStyle w:val="CommentReference"/>
        </w:rPr>
        <w:annotationRef/>
      </w:r>
      <w:r>
        <w:t xml:space="preserve">Buat dalam 1 paragraf, </w:t>
      </w:r>
      <w:r>
        <w:rPr>
          <w:lang w:val="en-ID"/>
        </w:rPr>
        <w:t>yang menjelaskan implikasi penting dari temuan tersebut dan berikan saran untuk penelitian selanjutnya atau rekomendasi praktis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F8D276" w15:done="0"/>
  <w15:commentEx w15:paraId="0580EADD" w15:done="0"/>
  <w15:commentEx w15:paraId="20AFAFA1" w15:done="0"/>
  <w15:commentEx w15:paraId="38A54C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19B98A" w16cex:dateUtc="2026-04-27T02:49:00Z"/>
  <w16cex:commentExtensible w16cex:durableId="044E405B" w16cex:dateUtc="2026-04-27T02:49:00Z"/>
  <w16cex:commentExtensible w16cex:durableId="0126D17A" w16cex:dateUtc="2026-04-27T02:50:00Z"/>
  <w16cex:commentExtensible w16cex:durableId="083F7B0E" w16cex:dateUtc="2026-04-27T0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F8D276" w16cid:durableId="3119B98A"/>
  <w16cid:commentId w16cid:paraId="0580EADD" w16cid:durableId="044E405B"/>
  <w16cid:commentId w16cid:paraId="20AFAFA1" w16cid:durableId="0126D17A"/>
  <w16cid:commentId w16cid:paraId="38A54CE7" w16cid:durableId="083F7B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CB2A" w14:textId="77777777" w:rsidR="00434A05" w:rsidRDefault="00434A05">
      <w:r>
        <w:separator/>
      </w:r>
    </w:p>
  </w:endnote>
  <w:endnote w:type="continuationSeparator" w:id="0">
    <w:p w14:paraId="22F31C38" w14:textId="77777777" w:rsidR="00434A05" w:rsidRDefault="0043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4F7F24F5-6636-4397-A386-4684B8F1857E}"/>
    <w:embedBold r:id="rId2" w:fontKey="{6E4ACE59-A7C0-40F0-8F10-F3A16904E23A}"/>
    <w:embedItalic r:id="rId3" w:fontKey="{FA34EA2C-6DFF-43DE-8A36-20A765EC69AD}"/>
    <w:embedBoldItalic r:id="rId4" w:fontKey="{F4561DA7-95BF-4491-B8D7-94801D4375AC}"/>
  </w:font>
  <w:font w:name="Georgia">
    <w:panose1 w:val="02040502050405020303"/>
    <w:charset w:val="00"/>
    <w:family w:val="roman"/>
    <w:pitch w:val="variable"/>
    <w:sig w:usb0="00000287" w:usb1="00000000" w:usb2="00000000" w:usb3="00000000" w:csb0="0000009F" w:csb1="00000000"/>
    <w:embedItalic r:id="rId5" w:fontKey="{B3ACC6B1-08AD-45AA-A637-33AF8A455BA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EDBCC4F4-F726-42E1-82F0-D69F877A58C3}"/>
  </w:font>
  <w:font w:name="Cambria">
    <w:panose1 w:val="02040503050406030204"/>
    <w:charset w:val="00"/>
    <w:family w:val="roman"/>
    <w:pitch w:val="variable"/>
    <w:sig w:usb0="E00006FF" w:usb1="420024FF" w:usb2="02000000" w:usb3="00000000" w:csb0="0000019F" w:csb1="00000000"/>
    <w:embedRegular r:id="rId7" w:fontKey="{F82890AD-B62F-4AE5-A4FC-367DDBCD09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CAD5" w14:textId="77777777" w:rsidR="006C6240" w:rsidRDefault="006C624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8DB1" w14:textId="77777777" w:rsidR="006C6240" w:rsidRDefault="006C6240">
    <w:pPr>
      <w:jc w:val="center"/>
      <w:rPr>
        <w:color w:val="000000"/>
        <w:sz w:val="16"/>
        <w:szCs w:val="16"/>
      </w:rPr>
    </w:pPr>
  </w:p>
  <w:p w14:paraId="371B9B63" w14:textId="77777777" w:rsidR="006C6240" w:rsidRDefault="00000000">
    <w:pPr>
      <w:tabs>
        <w:tab w:val="right" w:pos="8845"/>
        <w:tab w:val="right" w:pos="10466"/>
      </w:tabs>
      <w:rPr>
        <w:color w:val="000000"/>
        <w:sz w:val="16"/>
        <w:szCs w:val="16"/>
      </w:rPr>
    </w:pPr>
    <w:r>
      <w:rPr>
        <w:color w:val="0000FF"/>
        <w:sz w:val="16"/>
        <w:szCs w:val="16"/>
      </w:rPr>
      <w:t>https://penerbitadm.pubmedia.id/index.php/iso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4DDD" w14:textId="77777777" w:rsidR="006C6240" w:rsidRDefault="006C6240">
    <w:pPr>
      <w:pBdr>
        <w:top w:val="nil"/>
        <w:left w:val="nil"/>
        <w:bottom w:val="single" w:sz="6" w:space="1" w:color="000000"/>
        <w:right w:val="nil"/>
        <w:between w:val="nil"/>
      </w:pBdr>
      <w:tabs>
        <w:tab w:val="right" w:pos="8845"/>
        <w:tab w:val="right" w:pos="10466"/>
      </w:tabs>
      <w:rPr>
        <w:color w:val="000000"/>
        <w:sz w:val="16"/>
        <w:szCs w:val="16"/>
      </w:rPr>
    </w:pPr>
  </w:p>
  <w:p w14:paraId="18F2DCD2" w14:textId="77777777" w:rsidR="006C6240" w:rsidRDefault="00000000">
    <w:pPr>
      <w:pBdr>
        <w:top w:val="nil"/>
        <w:left w:val="nil"/>
        <w:bottom w:val="nil"/>
        <w:right w:val="nil"/>
        <w:between w:val="nil"/>
      </w:pBdr>
      <w:tabs>
        <w:tab w:val="right" w:pos="8845"/>
        <w:tab w:val="right" w:pos="10466"/>
      </w:tabs>
      <w:rPr>
        <w:color w:val="0000FF"/>
        <w:sz w:val="16"/>
        <w:szCs w:val="16"/>
      </w:rPr>
    </w:pPr>
    <w:r>
      <w:rPr>
        <w:color w:val="0000FF"/>
        <w:sz w:val="16"/>
        <w:szCs w:val="16"/>
      </w:rPr>
      <w:t>https://penerbitadm.pubmedia.id/index.php/iso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1BAE" w14:textId="77777777" w:rsidR="00434A05" w:rsidRDefault="00434A05">
      <w:r>
        <w:separator/>
      </w:r>
    </w:p>
  </w:footnote>
  <w:footnote w:type="continuationSeparator" w:id="0">
    <w:p w14:paraId="0BBEC80D" w14:textId="77777777" w:rsidR="00434A05" w:rsidRDefault="00434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683C" w14:textId="77777777" w:rsidR="006C6240" w:rsidRDefault="006C6240">
    <w:pPr>
      <w:pBdr>
        <w:top w:val="nil"/>
        <w:left w:val="nil"/>
        <w:bottom w:val="none" w:sz="0" w:space="0" w:color="000000"/>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2848" w14:textId="77777777" w:rsidR="006C6240" w:rsidRDefault="00000000">
    <w:pPr>
      <w:tabs>
        <w:tab w:val="right" w:pos="9638"/>
      </w:tabs>
      <w:rPr>
        <w:sz w:val="16"/>
        <w:szCs w:val="16"/>
      </w:rPr>
    </w:pPr>
    <w:r>
      <w:rPr>
        <w:sz w:val="16"/>
        <w:szCs w:val="16"/>
      </w:rPr>
      <w:t>Jurnal ISO: Jurnal Ilmu Sosial, Politik dan Humaniora Vol: 4, No 1, 2024</w:t>
    </w:r>
    <w:r>
      <w:rPr>
        <w:sz w:val="16"/>
        <w:szCs w:val="16"/>
      </w:rPr>
      <w:tab/>
    </w:r>
    <w:r>
      <w:rPr>
        <w:sz w:val="16"/>
        <w:szCs w:val="16"/>
      </w:rPr>
      <w:fldChar w:fldCharType="begin"/>
    </w:r>
    <w:r>
      <w:rPr>
        <w:sz w:val="16"/>
        <w:szCs w:val="16"/>
      </w:rPr>
      <w:instrText>PAGE</w:instrText>
    </w:r>
    <w:r>
      <w:rPr>
        <w:sz w:val="16"/>
        <w:szCs w:val="16"/>
      </w:rPr>
      <w:fldChar w:fldCharType="separate"/>
    </w:r>
    <w:r w:rsidR="00F402F6">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F402F6">
      <w:rPr>
        <w:noProof/>
        <w:sz w:val="16"/>
        <w:szCs w:val="16"/>
      </w:rPr>
      <w:t>3</w:t>
    </w:r>
    <w:r>
      <w:rPr>
        <w:sz w:val="16"/>
        <w:szCs w:val="16"/>
      </w:rPr>
      <w:fldChar w:fldCharType="end"/>
    </w:r>
  </w:p>
  <w:p w14:paraId="42BA2135" w14:textId="77777777" w:rsidR="006C6240" w:rsidRDefault="006C6240">
    <w:pPr>
      <w:pBdr>
        <w:bottom w:val="single" w:sz="4" w:space="1" w:color="000000"/>
      </w:pBdr>
      <w:tabs>
        <w:tab w:val="right" w:pos="8844"/>
      </w:tabs>
      <w:spacing w:after="480"/>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C6DC" w14:textId="77777777" w:rsidR="006C6240" w:rsidRDefault="00000000">
    <w:pPr>
      <w:widowControl w:val="0"/>
      <w:pBdr>
        <w:top w:val="nil"/>
        <w:left w:val="nil"/>
        <w:bottom w:val="nil"/>
        <w:right w:val="nil"/>
        <w:between w:val="nil"/>
      </w:pBdr>
      <w:spacing w:line="276" w:lineRule="auto"/>
      <w:jc w:val="left"/>
      <w:rPr>
        <w:color w:val="000000"/>
      </w:rPr>
    </w:pPr>
    <w:r>
      <w:rPr>
        <w:noProof/>
      </w:rPr>
      <w:drawing>
        <wp:anchor distT="0" distB="0" distL="0" distR="0" simplePos="0" relativeHeight="251658240" behindDoc="1" locked="0" layoutInCell="1" hidden="0" allowOverlap="1" wp14:anchorId="5EE40A46" wp14:editId="6D6B0CD3">
          <wp:simplePos x="0" y="0"/>
          <wp:positionH relativeFrom="column">
            <wp:posOffset>-2536</wp:posOffset>
          </wp:positionH>
          <wp:positionV relativeFrom="paragraph">
            <wp:posOffset>234315</wp:posOffset>
          </wp:positionV>
          <wp:extent cx="550800" cy="779109"/>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0800" cy="779109"/>
                  </a:xfrm>
                  <a:prstGeom prst="rect">
                    <a:avLst/>
                  </a:prstGeom>
                  <a:ln/>
                </pic:spPr>
              </pic:pic>
            </a:graphicData>
          </a:graphic>
        </wp:anchor>
      </w:drawing>
    </w:r>
  </w:p>
  <w:tbl>
    <w:tblPr>
      <w:tblStyle w:val="a2"/>
      <w:tblW w:w="8175" w:type="dxa"/>
      <w:tblInd w:w="1470" w:type="dxa"/>
      <w:tblLayout w:type="fixed"/>
      <w:tblLook w:val="0000" w:firstRow="0" w:lastRow="0" w:firstColumn="0" w:lastColumn="0" w:noHBand="0" w:noVBand="0"/>
    </w:tblPr>
    <w:tblGrid>
      <w:gridCol w:w="1500"/>
      <w:gridCol w:w="4125"/>
      <w:gridCol w:w="2550"/>
    </w:tblGrid>
    <w:tr w:rsidR="006C6240" w14:paraId="2614C166" w14:textId="77777777">
      <w:trPr>
        <w:trHeight w:val="710"/>
      </w:trPr>
      <w:tc>
        <w:tcPr>
          <w:tcW w:w="1500" w:type="dxa"/>
          <w:vAlign w:val="center"/>
        </w:tcPr>
        <w:p w14:paraId="44F8BF63" w14:textId="77777777" w:rsidR="006C6240" w:rsidRDefault="00000000">
          <w:pPr>
            <w:pBdr>
              <w:bottom w:val="none" w:sz="0" w:space="0" w:color="000000"/>
            </w:pBdr>
            <w:tabs>
              <w:tab w:val="center" w:pos="4153"/>
              <w:tab w:val="right" w:pos="8306"/>
            </w:tabs>
            <w:jc w:val="left"/>
            <w:rPr>
              <w:color w:val="000000"/>
            </w:rPr>
          </w:pPr>
          <w:r>
            <w:rPr>
              <w:color w:val="000000"/>
              <w:sz w:val="18"/>
              <w:szCs w:val="18"/>
            </w:rPr>
            <w:t>e-ISSN 2798-8260</w:t>
          </w:r>
        </w:p>
      </w:tc>
      <w:tc>
        <w:tcPr>
          <w:tcW w:w="4125" w:type="dxa"/>
          <w:vAlign w:val="center"/>
        </w:tcPr>
        <w:p w14:paraId="15D30E29" w14:textId="77777777" w:rsidR="006C6240" w:rsidRDefault="006C6240">
          <w:pPr>
            <w:pBdr>
              <w:top w:val="nil"/>
              <w:left w:val="nil"/>
              <w:bottom w:val="none" w:sz="0" w:space="0" w:color="000000"/>
              <w:right w:val="nil"/>
              <w:between w:val="nil"/>
            </w:pBdr>
            <w:tabs>
              <w:tab w:val="center" w:pos="4153"/>
              <w:tab w:val="right" w:pos="8306"/>
            </w:tabs>
            <w:jc w:val="center"/>
            <w:rPr>
              <w:color w:val="000000"/>
            </w:rPr>
          </w:pPr>
        </w:p>
      </w:tc>
      <w:tc>
        <w:tcPr>
          <w:tcW w:w="2550" w:type="dxa"/>
          <w:vAlign w:val="center"/>
        </w:tcPr>
        <w:p w14:paraId="5CD30286" w14:textId="77777777" w:rsidR="006C6240" w:rsidRDefault="00000000">
          <w:pPr>
            <w:pBdr>
              <w:top w:val="nil"/>
              <w:left w:val="nil"/>
              <w:bottom w:val="none" w:sz="0" w:space="0" w:color="000000"/>
              <w:right w:val="nil"/>
              <w:between w:val="nil"/>
            </w:pBdr>
            <w:tabs>
              <w:tab w:val="center" w:pos="4153"/>
              <w:tab w:val="right" w:pos="8306"/>
            </w:tabs>
            <w:jc w:val="center"/>
            <w:rPr>
              <w:color w:val="000000"/>
            </w:rPr>
          </w:pPr>
          <w:r>
            <w:rPr>
              <w:b/>
              <w:bCs/>
              <w:noProof/>
              <w:color w:val="000000"/>
            </w:rPr>
            <w:drawing>
              <wp:inline distT="0" distB="0" distL="114300" distR="114300" wp14:anchorId="3ED7DBFC" wp14:editId="7A1F2A96">
                <wp:extent cx="1315720" cy="34417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15720" cy="344170"/>
                        </a:xfrm>
                        <a:prstGeom prst="rect">
                          <a:avLst/>
                        </a:prstGeom>
                        <a:ln/>
                      </pic:spPr>
                    </pic:pic>
                  </a:graphicData>
                </a:graphic>
              </wp:inline>
            </w:drawing>
          </w:r>
        </w:p>
      </w:tc>
    </w:tr>
    <w:tr w:rsidR="006C6240" w14:paraId="6AB6B4C9" w14:textId="77777777">
      <w:trPr>
        <w:trHeight w:val="312"/>
      </w:trPr>
      <w:tc>
        <w:tcPr>
          <w:tcW w:w="8175" w:type="dxa"/>
          <w:gridSpan w:val="3"/>
          <w:vAlign w:val="center"/>
        </w:tcPr>
        <w:p w14:paraId="054C1D0E" w14:textId="77777777" w:rsidR="006C6240" w:rsidRDefault="006C6240">
          <w:pPr>
            <w:pBdr>
              <w:top w:val="nil"/>
              <w:left w:val="nil"/>
              <w:bottom w:val="none" w:sz="0" w:space="0" w:color="000000"/>
              <w:right w:val="nil"/>
              <w:between w:val="nil"/>
            </w:pBdr>
            <w:tabs>
              <w:tab w:val="center" w:pos="4153"/>
              <w:tab w:val="right" w:pos="8306"/>
            </w:tabs>
            <w:jc w:val="center"/>
            <w:rPr>
              <w:sz w:val="16"/>
              <w:szCs w:val="16"/>
            </w:rPr>
          </w:pPr>
          <w:bookmarkStart w:id="4" w:name="_heading=h.3znysh7" w:colFirst="0" w:colLast="0"/>
          <w:bookmarkEnd w:id="4"/>
        </w:p>
        <w:p w14:paraId="54036200" w14:textId="77777777" w:rsidR="006C6240" w:rsidRDefault="006C6240">
          <w:pPr>
            <w:pBdr>
              <w:top w:val="nil"/>
              <w:left w:val="nil"/>
              <w:bottom w:val="none" w:sz="0" w:space="0" w:color="000000"/>
              <w:right w:val="nil"/>
              <w:between w:val="nil"/>
            </w:pBdr>
            <w:tabs>
              <w:tab w:val="center" w:pos="4153"/>
              <w:tab w:val="right" w:pos="8306"/>
            </w:tabs>
            <w:jc w:val="center"/>
            <w:rPr>
              <w:sz w:val="16"/>
              <w:szCs w:val="16"/>
            </w:rPr>
          </w:pPr>
        </w:p>
        <w:p w14:paraId="20D37185" w14:textId="77777777" w:rsidR="006C6240" w:rsidRDefault="00000000">
          <w:pPr>
            <w:pBdr>
              <w:top w:val="nil"/>
              <w:left w:val="nil"/>
              <w:bottom w:val="none" w:sz="0" w:space="0" w:color="000000"/>
              <w:right w:val="nil"/>
              <w:between w:val="nil"/>
            </w:pBdr>
            <w:tabs>
              <w:tab w:val="center" w:pos="4153"/>
              <w:tab w:val="right" w:pos="8306"/>
            </w:tabs>
            <w:jc w:val="center"/>
            <w:rPr>
              <w:color w:val="000000"/>
              <w:sz w:val="16"/>
              <w:szCs w:val="16"/>
            </w:rPr>
          </w:pPr>
          <w:r>
            <w:rPr>
              <w:sz w:val="16"/>
              <w:szCs w:val="16"/>
            </w:rPr>
            <w:t xml:space="preserve">Jurnal ISO: Jurnal Ilmu Sosial, Politik dan Humaniora </w:t>
          </w:r>
          <w:r>
            <w:rPr>
              <w:color w:val="000000"/>
              <w:sz w:val="16"/>
              <w:szCs w:val="16"/>
            </w:rPr>
            <w:t>Vo</w:t>
          </w:r>
          <w:r>
            <w:rPr>
              <w:sz w:val="16"/>
              <w:szCs w:val="16"/>
            </w:rPr>
            <w:t>l</w:t>
          </w:r>
          <w:r>
            <w:rPr>
              <w:color w:val="000000"/>
              <w:sz w:val="16"/>
              <w:szCs w:val="16"/>
            </w:rPr>
            <w:t>: 4, No 1, 202</w:t>
          </w:r>
          <w:r>
            <w:rPr>
              <w:sz w:val="16"/>
              <w:szCs w:val="16"/>
            </w:rPr>
            <w:t>4</w:t>
          </w:r>
          <w:r>
            <w:rPr>
              <w:color w:val="000000"/>
              <w:sz w:val="16"/>
              <w:szCs w:val="16"/>
            </w:rPr>
            <w:t xml:space="preserve">, </w:t>
          </w:r>
          <w:r>
            <w:rPr>
              <w:sz w:val="16"/>
              <w:szCs w:val="16"/>
            </w:rPr>
            <w:t>Page</w:t>
          </w:r>
          <w:r>
            <w:rPr>
              <w:color w:val="000000"/>
              <w:sz w:val="16"/>
              <w:szCs w:val="16"/>
            </w:rPr>
            <w:t>:</w:t>
          </w:r>
          <w:r>
            <w:rPr>
              <w:sz w:val="16"/>
              <w:szCs w:val="16"/>
            </w:rPr>
            <w:t xml:space="preserve"> 1-9</w:t>
          </w:r>
        </w:p>
      </w:tc>
    </w:tr>
  </w:tbl>
  <w:p w14:paraId="7E426912" w14:textId="77777777" w:rsidR="006C6240" w:rsidRDefault="006C6240">
    <w:pPr>
      <w:pBdr>
        <w:bottom w:val="single" w:sz="4" w:space="1" w:color="000000"/>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45321"/>
    <w:multiLevelType w:val="hybridMultilevel"/>
    <w:tmpl w:val="A79ED318"/>
    <w:lvl w:ilvl="0" w:tplc="F64C7CB8">
      <w:start w:val="1"/>
      <w:numFmt w:val="bullet"/>
      <w:lvlText w:val=""/>
      <w:lvlJc w:val="left"/>
      <w:pPr>
        <w:ind w:left="1080" w:hanging="360"/>
      </w:pPr>
      <w:rPr>
        <w:rFonts w:ascii="Symbol" w:hAnsi="Symbol"/>
      </w:rPr>
    </w:lvl>
    <w:lvl w:ilvl="1" w:tplc="FB8260DA">
      <w:start w:val="1"/>
      <w:numFmt w:val="bullet"/>
      <w:lvlText w:val=""/>
      <w:lvlJc w:val="left"/>
      <w:pPr>
        <w:ind w:left="1080" w:hanging="360"/>
      </w:pPr>
      <w:rPr>
        <w:rFonts w:ascii="Symbol" w:hAnsi="Symbol"/>
      </w:rPr>
    </w:lvl>
    <w:lvl w:ilvl="2" w:tplc="F7AAC456">
      <w:start w:val="1"/>
      <w:numFmt w:val="bullet"/>
      <w:lvlText w:val=""/>
      <w:lvlJc w:val="left"/>
      <w:pPr>
        <w:ind w:left="1080" w:hanging="360"/>
      </w:pPr>
      <w:rPr>
        <w:rFonts w:ascii="Symbol" w:hAnsi="Symbol"/>
      </w:rPr>
    </w:lvl>
    <w:lvl w:ilvl="3" w:tplc="B8A2A1B4">
      <w:start w:val="1"/>
      <w:numFmt w:val="bullet"/>
      <w:lvlText w:val=""/>
      <w:lvlJc w:val="left"/>
      <w:pPr>
        <w:ind w:left="1080" w:hanging="360"/>
      </w:pPr>
      <w:rPr>
        <w:rFonts w:ascii="Symbol" w:hAnsi="Symbol"/>
      </w:rPr>
    </w:lvl>
    <w:lvl w:ilvl="4" w:tplc="0FA8EF60">
      <w:start w:val="1"/>
      <w:numFmt w:val="bullet"/>
      <w:lvlText w:val=""/>
      <w:lvlJc w:val="left"/>
      <w:pPr>
        <w:ind w:left="1080" w:hanging="360"/>
      </w:pPr>
      <w:rPr>
        <w:rFonts w:ascii="Symbol" w:hAnsi="Symbol"/>
      </w:rPr>
    </w:lvl>
    <w:lvl w:ilvl="5" w:tplc="CAD28FFE">
      <w:start w:val="1"/>
      <w:numFmt w:val="bullet"/>
      <w:lvlText w:val=""/>
      <w:lvlJc w:val="left"/>
      <w:pPr>
        <w:ind w:left="1080" w:hanging="360"/>
      </w:pPr>
      <w:rPr>
        <w:rFonts w:ascii="Symbol" w:hAnsi="Symbol"/>
      </w:rPr>
    </w:lvl>
    <w:lvl w:ilvl="6" w:tplc="9252F79E">
      <w:start w:val="1"/>
      <w:numFmt w:val="bullet"/>
      <w:lvlText w:val=""/>
      <w:lvlJc w:val="left"/>
      <w:pPr>
        <w:ind w:left="1080" w:hanging="360"/>
      </w:pPr>
      <w:rPr>
        <w:rFonts w:ascii="Symbol" w:hAnsi="Symbol"/>
      </w:rPr>
    </w:lvl>
    <w:lvl w:ilvl="7" w:tplc="29900620">
      <w:start w:val="1"/>
      <w:numFmt w:val="bullet"/>
      <w:lvlText w:val=""/>
      <w:lvlJc w:val="left"/>
      <w:pPr>
        <w:ind w:left="1080" w:hanging="360"/>
      </w:pPr>
      <w:rPr>
        <w:rFonts w:ascii="Symbol" w:hAnsi="Symbol"/>
      </w:rPr>
    </w:lvl>
    <w:lvl w:ilvl="8" w:tplc="6EAC5C0E">
      <w:start w:val="1"/>
      <w:numFmt w:val="bullet"/>
      <w:lvlText w:val=""/>
      <w:lvlJc w:val="left"/>
      <w:pPr>
        <w:ind w:left="1080" w:hanging="360"/>
      </w:pPr>
      <w:rPr>
        <w:rFonts w:ascii="Symbol" w:hAnsi="Symbol"/>
      </w:rPr>
    </w:lvl>
  </w:abstractNum>
  <w:abstractNum w:abstractNumId="1" w15:restartNumberingAfterBreak="0">
    <w:nsid w:val="4414037A"/>
    <w:multiLevelType w:val="hybridMultilevel"/>
    <w:tmpl w:val="F7F4FC1E"/>
    <w:lvl w:ilvl="0" w:tplc="C56437F6">
      <w:start w:val="1"/>
      <w:numFmt w:val="decimal"/>
      <w:lvlText w:val="%1."/>
      <w:lvlJc w:val="left"/>
      <w:pPr>
        <w:ind w:left="1440" w:hanging="360"/>
      </w:pPr>
    </w:lvl>
    <w:lvl w:ilvl="1" w:tplc="2392033A">
      <w:start w:val="1"/>
      <w:numFmt w:val="decimal"/>
      <w:lvlText w:val="%2."/>
      <w:lvlJc w:val="left"/>
      <w:pPr>
        <w:ind w:left="1440" w:hanging="360"/>
      </w:pPr>
    </w:lvl>
    <w:lvl w:ilvl="2" w:tplc="2E8631A6">
      <w:start w:val="1"/>
      <w:numFmt w:val="decimal"/>
      <w:lvlText w:val="%3."/>
      <w:lvlJc w:val="left"/>
      <w:pPr>
        <w:ind w:left="1440" w:hanging="360"/>
      </w:pPr>
    </w:lvl>
    <w:lvl w:ilvl="3" w:tplc="F3047310">
      <w:start w:val="1"/>
      <w:numFmt w:val="decimal"/>
      <w:lvlText w:val="%4."/>
      <w:lvlJc w:val="left"/>
      <w:pPr>
        <w:ind w:left="1440" w:hanging="360"/>
      </w:pPr>
    </w:lvl>
    <w:lvl w:ilvl="4" w:tplc="AA4E0CE0">
      <w:start w:val="1"/>
      <w:numFmt w:val="decimal"/>
      <w:lvlText w:val="%5."/>
      <w:lvlJc w:val="left"/>
      <w:pPr>
        <w:ind w:left="1440" w:hanging="360"/>
      </w:pPr>
    </w:lvl>
    <w:lvl w:ilvl="5" w:tplc="59CEBFD8">
      <w:start w:val="1"/>
      <w:numFmt w:val="decimal"/>
      <w:lvlText w:val="%6."/>
      <w:lvlJc w:val="left"/>
      <w:pPr>
        <w:ind w:left="1440" w:hanging="360"/>
      </w:pPr>
    </w:lvl>
    <w:lvl w:ilvl="6" w:tplc="5FD038EC">
      <w:start w:val="1"/>
      <w:numFmt w:val="decimal"/>
      <w:lvlText w:val="%7."/>
      <w:lvlJc w:val="left"/>
      <w:pPr>
        <w:ind w:left="1440" w:hanging="360"/>
      </w:pPr>
    </w:lvl>
    <w:lvl w:ilvl="7" w:tplc="26481FDA">
      <w:start w:val="1"/>
      <w:numFmt w:val="decimal"/>
      <w:lvlText w:val="%8."/>
      <w:lvlJc w:val="left"/>
      <w:pPr>
        <w:ind w:left="1440" w:hanging="360"/>
      </w:pPr>
    </w:lvl>
    <w:lvl w:ilvl="8" w:tplc="3FA2B2A2">
      <w:start w:val="1"/>
      <w:numFmt w:val="decimal"/>
      <w:lvlText w:val="%9."/>
      <w:lvlJc w:val="left"/>
      <w:pPr>
        <w:ind w:left="1440" w:hanging="360"/>
      </w:pPr>
    </w:lvl>
  </w:abstractNum>
  <w:abstractNum w:abstractNumId="2" w15:restartNumberingAfterBreak="0">
    <w:nsid w:val="47942CC4"/>
    <w:multiLevelType w:val="multilevel"/>
    <w:tmpl w:val="243A1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9151762">
    <w:abstractNumId w:val="2"/>
  </w:num>
  <w:num w:numId="2" w16cid:durableId="967275995">
    <w:abstractNumId w:val="1"/>
  </w:num>
  <w:num w:numId="3" w16cid:durableId="19054872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2">
    <w15:presenceInfo w15:providerId="None" w15:userId="Reviewer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40"/>
    <w:rsid w:val="0004116C"/>
    <w:rsid w:val="00434A05"/>
    <w:rsid w:val="006C6240"/>
    <w:rsid w:val="00F402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2569060"/>
  <w15:docId w15:val="{79EAEE94-173F-4C2E-B016-31D35BAD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402F6"/>
    <w:rPr>
      <w:sz w:val="16"/>
      <w:szCs w:val="16"/>
    </w:rPr>
  </w:style>
  <w:style w:type="paragraph" w:styleId="CommentText">
    <w:name w:val="annotation text"/>
    <w:basedOn w:val="Normal"/>
    <w:link w:val="CommentTextChar"/>
    <w:uiPriority w:val="99"/>
    <w:unhideWhenUsed/>
    <w:rsid w:val="00F402F6"/>
  </w:style>
  <w:style w:type="character" w:customStyle="1" w:styleId="CommentTextChar">
    <w:name w:val="Comment Text Char"/>
    <w:basedOn w:val="DefaultParagraphFont"/>
    <w:link w:val="CommentText"/>
    <w:uiPriority w:val="99"/>
    <w:rsid w:val="00F402F6"/>
  </w:style>
  <w:style w:type="paragraph" w:styleId="CommentSubject">
    <w:name w:val="annotation subject"/>
    <w:basedOn w:val="CommentText"/>
    <w:next w:val="CommentText"/>
    <w:link w:val="CommentSubjectChar"/>
    <w:uiPriority w:val="99"/>
    <w:semiHidden/>
    <w:unhideWhenUsed/>
    <w:rsid w:val="00F402F6"/>
    <w:rPr>
      <w:b/>
      <w:bCs/>
    </w:rPr>
  </w:style>
  <w:style w:type="character" w:customStyle="1" w:styleId="CommentSubjectChar">
    <w:name w:val="Comment Subject Char"/>
    <w:basedOn w:val="CommentTextChar"/>
    <w:link w:val="CommentSubject"/>
    <w:uiPriority w:val="99"/>
    <w:semiHidden/>
    <w:rsid w:val="00F40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email@e-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xxxxx/xxxx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 Id="rId22"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so25XCCk4cqBzcdxdTiQhui4tw==">CgMxLjAaHwoBMBIaChgICVIUChJ0YWJsZS5pb3Bzbjg2NHlqeGUyCWguM3pueXNoNzgAciExdDBXLVMtUlVVamY4akx3OGlFQjhXWml5WnFKV1VJVFA=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3875</Words>
  <Characters>22094</Characters>
  <Application>Microsoft Office Word</Application>
  <DocSecurity>0</DocSecurity>
  <Lines>184</Lines>
  <Paragraphs>51</Paragraphs>
  <ScaleCrop>false</ScaleCrop>
  <Company/>
  <LinksUpToDate>false</LinksUpToDate>
  <CharactersWithSpaces>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annas fajar rohmani</dc:creator>
  <cp:lastModifiedBy>Reviewer 2</cp:lastModifiedBy>
  <cp:revision>2</cp:revision>
  <dcterms:created xsi:type="dcterms:W3CDTF">2026-04-27T02:53:00Z</dcterms:created>
  <dcterms:modified xsi:type="dcterms:W3CDTF">2026-04-27T02:53:00Z</dcterms:modified>
</cp:coreProperties>
</file>